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63" w:rsidRDefault="00547863" w:rsidP="0054786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Gospodarka magazynowa</w:t>
      </w:r>
    </w:p>
    <w:p w:rsidR="00547863" w:rsidRPr="00E25AA5" w:rsidRDefault="00AD635A" w:rsidP="0054786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Magazynier logistyk, szkoła branżowa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</w:p>
    <w:p w:rsidR="00547863" w:rsidRPr="00E25AA5" w:rsidRDefault="00547863" w:rsidP="00547863">
      <w:pPr>
        <w:spacing w:after="0" w:line="240" w:lineRule="auto"/>
        <w:rPr>
          <w:b/>
          <w:sz w:val="28"/>
          <w:szCs w:val="28"/>
        </w:rPr>
      </w:pPr>
      <w:r w:rsidRPr="00E25AA5">
        <w:rPr>
          <w:b/>
          <w:sz w:val="28"/>
          <w:szCs w:val="28"/>
        </w:rPr>
        <w:t>Wymagania edukacyjne i zakres materiału nauczania</w:t>
      </w:r>
    </w:p>
    <w:p w:rsidR="00547863" w:rsidRPr="00E25AA5" w:rsidRDefault="00547863" w:rsidP="00547863">
      <w:pPr>
        <w:spacing w:after="0" w:line="240" w:lineRule="auto"/>
        <w:rPr>
          <w:b/>
          <w:sz w:val="28"/>
          <w:szCs w:val="28"/>
        </w:rPr>
      </w:pPr>
      <w:r w:rsidRPr="00E25AA5">
        <w:rPr>
          <w:b/>
          <w:sz w:val="28"/>
          <w:szCs w:val="28"/>
        </w:rPr>
        <w:t xml:space="preserve">Liczba </w:t>
      </w:r>
      <w:r>
        <w:rPr>
          <w:b/>
          <w:sz w:val="28"/>
          <w:szCs w:val="28"/>
        </w:rPr>
        <w:t>godzin w cyklu kształcenia - 192</w:t>
      </w:r>
    </w:p>
    <w:p w:rsidR="00547863" w:rsidRPr="00E25AA5" w:rsidRDefault="00547863" w:rsidP="00547863">
      <w:pPr>
        <w:spacing w:after="0" w:line="240" w:lineRule="auto"/>
        <w:rPr>
          <w:b/>
          <w:sz w:val="28"/>
          <w:szCs w:val="28"/>
        </w:rPr>
      </w:pPr>
      <w:r w:rsidRPr="00E25AA5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1</w:t>
      </w:r>
      <w:r w:rsidRPr="00E25AA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64</w:t>
      </w:r>
      <w:r w:rsidRPr="00E25AA5">
        <w:rPr>
          <w:b/>
          <w:sz w:val="28"/>
          <w:szCs w:val="28"/>
        </w:rPr>
        <w:t xml:space="preserve"> godzin</w:t>
      </w:r>
      <w:r>
        <w:rPr>
          <w:b/>
          <w:sz w:val="28"/>
          <w:szCs w:val="28"/>
        </w:rPr>
        <w:t xml:space="preserve">y w roku szkolnym- </w:t>
      </w:r>
      <w:r>
        <w:rPr>
          <w:sz w:val="28"/>
          <w:szCs w:val="28"/>
        </w:rPr>
        <w:t>2</w:t>
      </w:r>
      <w:r w:rsidRPr="00404F03">
        <w:rPr>
          <w:sz w:val="28"/>
          <w:szCs w:val="28"/>
        </w:rPr>
        <w:t>godź/tyg</w:t>
      </w:r>
      <w:r>
        <w:rPr>
          <w:sz w:val="28"/>
          <w:szCs w:val="28"/>
        </w:rPr>
        <w:t>.</w:t>
      </w:r>
    </w:p>
    <w:p w:rsidR="00547863" w:rsidRDefault="00547863" w:rsidP="005478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Klasa 2 - 64</w:t>
      </w:r>
      <w:r w:rsidRPr="00E25AA5">
        <w:rPr>
          <w:b/>
          <w:sz w:val="28"/>
          <w:szCs w:val="28"/>
        </w:rPr>
        <w:t xml:space="preserve"> godzin</w:t>
      </w:r>
      <w:r>
        <w:rPr>
          <w:b/>
          <w:sz w:val="28"/>
          <w:szCs w:val="28"/>
        </w:rPr>
        <w:t xml:space="preserve">y </w:t>
      </w:r>
      <w:r w:rsidRPr="00E25AA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 godz./tyg.</w:t>
      </w:r>
    </w:p>
    <w:p w:rsidR="00547863" w:rsidRDefault="00547863" w:rsidP="005478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3 – 64 godziny – 2 godz./tyg. 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5393"/>
        <w:gridCol w:w="1699"/>
        <w:gridCol w:w="1844"/>
      </w:tblGrid>
      <w:tr w:rsidR="004F63AA" w:rsidRPr="00F32EA4" w:rsidTr="00515183">
        <w:trPr>
          <w:trHeight w:val="660"/>
        </w:trPr>
        <w:tc>
          <w:tcPr>
            <w:tcW w:w="1681" w:type="pct"/>
          </w:tcPr>
          <w:p w:rsidR="004F63AA" w:rsidRPr="00F32EA4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Treści  kształcenia</w:t>
            </w:r>
          </w:p>
        </w:tc>
        <w:tc>
          <w:tcPr>
            <w:tcW w:w="2003" w:type="pct"/>
            <w:vAlign w:val="center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Uszczegółowione efekty kształcenia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Uczeń potrafi:</w:t>
            </w:r>
          </w:p>
          <w:p w:rsidR="00515183" w:rsidRPr="00F32EA4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31" w:type="pct"/>
          </w:tcPr>
          <w:p w:rsidR="004F63AA" w:rsidRPr="00F32EA4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 xml:space="preserve">Poziom </w:t>
            </w:r>
          </w:p>
        </w:tc>
        <w:tc>
          <w:tcPr>
            <w:tcW w:w="685" w:type="pct"/>
          </w:tcPr>
          <w:p w:rsidR="004F63AA" w:rsidRPr="00F32EA4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Liczba godzin</w:t>
            </w:r>
          </w:p>
        </w:tc>
      </w:tr>
      <w:tr w:rsidR="00515183" w:rsidRPr="00F32EA4" w:rsidTr="004F63AA">
        <w:trPr>
          <w:trHeight w:val="424"/>
        </w:trPr>
        <w:tc>
          <w:tcPr>
            <w:tcW w:w="1681" w:type="pct"/>
          </w:tcPr>
          <w:p w:rsidR="00515183" w:rsidRPr="00515183" w:rsidRDefault="00515183" w:rsidP="00A619CC">
            <w:pPr>
              <w:pStyle w:val="tabelalewa"/>
              <w:rPr>
                <w:rFonts w:eastAsia="Times New Roman"/>
                <w:b/>
                <w:sz w:val="22"/>
                <w:szCs w:val="22"/>
                <w:lang w:val="pl-PL"/>
              </w:rPr>
            </w:pPr>
          </w:p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  <w:r w:rsidRPr="00515183">
              <w:rPr>
                <w:rFonts w:eastAsia="Times New Roman"/>
                <w:b/>
                <w:sz w:val="22"/>
                <w:szCs w:val="22"/>
                <w:lang w:val="pl-PL"/>
              </w:rPr>
              <w:t>KLASA 1</w:t>
            </w:r>
          </w:p>
        </w:tc>
        <w:tc>
          <w:tcPr>
            <w:tcW w:w="2003" w:type="pct"/>
            <w:vAlign w:val="center"/>
          </w:tcPr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31" w:type="pct"/>
          </w:tcPr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85" w:type="pct"/>
          </w:tcPr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</w:tr>
      <w:tr w:rsidR="004F63AA" w:rsidRPr="00F32EA4" w:rsidTr="004F63AA">
        <w:trPr>
          <w:trHeight w:val="706"/>
        </w:trPr>
        <w:tc>
          <w:tcPr>
            <w:tcW w:w="1681" w:type="pct"/>
          </w:tcPr>
          <w:p w:rsidR="00515183" w:rsidRDefault="004F63AA" w:rsidP="00A619CC">
            <w:pPr>
              <w:pStyle w:val="tabelalewa"/>
            </w:pPr>
            <w:r>
              <w:softHyphen/>
            </w:r>
          </w:p>
          <w:p w:rsidR="004F63AA" w:rsidRDefault="004F63AA" w:rsidP="00A619CC">
            <w:pPr>
              <w:pStyle w:val="tabelalewa"/>
            </w:pPr>
            <w:r>
              <w:rPr>
                <w:lang w:val="pl-PL"/>
              </w:rPr>
              <w:t>-</w:t>
            </w:r>
            <w:r>
              <w:t>pojęcie magazynu i magazynowania</w:t>
            </w:r>
          </w:p>
          <w:p w:rsidR="004F63AA" w:rsidRDefault="004F63AA" w:rsidP="00A619CC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- pojęcia związane z gospodarką magazynową</w:t>
            </w:r>
          </w:p>
          <w:p w:rsidR="004F63AA" w:rsidRPr="009E6AE7" w:rsidRDefault="004F63AA" w:rsidP="00A619CC">
            <w:pPr>
              <w:pStyle w:val="tabelalewa"/>
              <w:rPr>
                <w:lang w:val="pl-PL"/>
              </w:rPr>
            </w:pPr>
            <w:r>
              <w:rPr>
                <w:rFonts w:ascii="Tahoma" w:hAnsi="Tahoma" w:cs="Tahoma"/>
                <w:color w:val="1A171B"/>
                <w:sz w:val="19"/>
                <w:szCs w:val="19"/>
                <w:shd w:val="clear" w:color="auto" w:fill="FFFFFF"/>
              </w:rPr>
              <w:t>-  lokalizacja magazynu w sieci dostaw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t xml:space="preserve"> </w:t>
            </w:r>
            <w:r>
              <w:sym w:font="Symbol" w:char="F02D"/>
            </w:r>
            <w:r>
              <w:t xml:space="preserve">zadania i zakres odpowiedzialności w magazynie </w:t>
            </w:r>
          </w:p>
        </w:tc>
        <w:tc>
          <w:tcPr>
            <w:tcW w:w="2003" w:type="pct"/>
            <w:vAlign w:val="center"/>
          </w:tcPr>
          <w:p w:rsidR="00515183" w:rsidRDefault="00515183" w:rsidP="00A619CC">
            <w:pPr>
              <w:pStyle w:val="tabelalewa"/>
            </w:pPr>
          </w:p>
          <w:p w:rsidR="004F63AA" w:rsidRDefault="004F63AA" w:rsidP="00A619CC">
            <w:pPr>
              <w:pStyle w:val="tabelalewa"/>
              <w:rPr>
                <w:lang w:val="pl-PL"/>
              </w:rPr>
            </w:pPr>
            <w:r>
              <w:t>PKZ(AU.ag)(1)1 wyjaśnić na czym polega magazynowanie</w:t>
            </w:r>
            <w:r>
              <w:rPr>
                <w:lang w:val="pl-PL"/>
              </w:rPr>
              <w:t xml:space="preserve"> i gospodarka magazynowa,</w:t>
            </w:r>
          </w:p>
          <w:p w:rsidR="004F63AA" w:rsidRDefault="004F63AA" w:rsidP="00A619CC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Omówić funkcję magazynu i znaczenie w sieci dostaw,</w:t>
            </w:r>
          </w:p>
          <w:p w:rsidR="004F63AA" w:rsidRPr="009E6AE7" w:rsidRDefault="004F63AA" w:rsidP="00A619CC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Zna pojęcie infrastruktury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31" w:type="pct"/>
          </w:tcPr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685" w:type="pct"/>
          </w:tcPr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14</w:t>
            </w:r>
          </w:p>
        </w:tc>
      </w:tr>
      <w:tr w:rsidR="004F63AA" w:rsidRPr="00F32EA4" w:rsidTr="004F63AA">
        <w:trPr>
          <w:trHeight w:val="1143"/>
        </w:trPr>
        <w:tc>
          <w:tcPr>
            <w:tcW w:w="1681" w:type="pct"/>
          </w:tcPr>
          <w:p w:rsidR="004F63AA" w:rsidRDefault="004F63AA" w:rsidP="009E6AE7">
            <w:pPr>
              <w:pStyle w:val="tabelalewa"/>
            </w:pPr>
            <w:r>
              <w:sym w:font="Symbol" w:char="F02D"/>
            </w:r>
            <w:r>
              <w:t>parametry magazynu</w:t>
            </w:r>
          </w:p>
          <w:p w:rsidR="004F63AA" w:rsidRDefault="004F63AA" w:rsidP="009E6AE7">
            <w:pPr>
              <w:pStyle w:val="tabelalewa"/>
            </w:pPr>
            <w:r>
              <w:t xml:space="preserve"> </w:t>
            </w:r>
            <w:r>
              <w:sym w:font="Symbol" w:char="F02D"/>
            </w:r>
            <w:r>
              <w:t xml:space="preserve">funkcje i zadania magazynów </w:t>
            </w:r>
            <w:r>
              <w:sym w:font="Symbol" w:char="F02D"/>
            </w:r>
            <w:r>
              <w:t>budowa i przeznaczenie magazynów</w:t>
            </w:r>
          </w:p>
          <w:p w:rsidR="004F63AA" w:rsidRDefault="004F63AA" w:rsidP="009E6AE7">
            <w:pPr>
              <w:pStyle w:val="tabelalewa"/>
            </w:pPr>
            <w:r>
              <w:t xml:space="preserve"> </w:t>
            </w:r>
            <w:r>
              <w:sym w:font="Symbol" w:char="F02D"/>
            </w:r>
            <w:r>
              <w:t>magazyny małe, średnie, wielkopowierzchniowe, wysokiego składowania i specjalistyczne</w:t>
            </w:r>
          </w:p>
          <w:p w:rsidR="004F63AA" w:rsidRDefault="004F63AA" w:rsidP="009E6AE7">
            <w:pPr>
              <w:pStyle w:val="tabelalewa"/>
            </w:pPr>
            <w:r>
              <w:t xml:space="preserve"> </w:t>
            </w:r>
            <w:r>
              <w:sym w:font="Symbol" w:char="F02D"/>
            </w:r>
            <w:r>
              <w:t>podział przestrzeni magazynowej</w:t>
            </w:r>
          </w:p>
        </w:tc>
        <w:tc>
          <w:tcPr>
            <w:tcW w:w="2003" w:type="pct"/>
            <w:vAlign w:val="center"/>
          </w:tcPr>
          <w:p w:rsidR="004F63AA" w:rsidRDefault="004F63AA" w:rsidP="00A619CC">
            <w:pPr>
              <w:pStyle w:val="tabelalewa"/>
            </w:pPr>
            <w:r>
              <w:t>PKZ(AU.ag)(1)2 charakteryzować parametry magazynu. PKZ(AU.ag)(1)3 określać funkcje i zadania magazynów. PKZ(AU.ag)(1)4 rozróżnić operacje i czynności magazynowe. PKZ(AU.ag)(1)5 charakteryzować budowę i przeznaczenie Magazynów. PKZ(AU.ag)(1)6 wyjaśnić pojęcia magazyn i magazynowanie.</w:t>
            </w:r>
          </w:p>
          <w:p w:rsidR="004F63AA" w:rsidRDefault="004F63AA" w:rsidP="00A619CC">
            <w:pPr>
              <w:pStyle w:val="tabelalewa"/>
            </w:pPr>
            <w:r>
              <w:t>AU.22.1(1)1 charakteryzować małe magazyny. AU.22.1(1)2 charakteryzować średnie magazyny. AU.22.1(1)3 charakteryzować magazyny wielkopowierzchniowe.</w:t>
            </w:r>
          </w:p>
          <w:p w:rsidR="004F63AA" w:rsidRDefault="004F63AA" w:rsidP="00A619CC">
            <w:pPr>
              <w:pStyle w:val="tabelalewa"/>
            </w:pPr>
            <w:r>
              <w:t xml:space="preserve"> AU.22.1(1)4 charakteryzować magazyny specjalistyczne. AU.22.1(1)5 rozróżnić rodzaje magazynów według różnych kryteriów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15</w:t>
            </w:r>
          </w:p>
        </w:tc>
      </w:tr>
      <w:tr w:rsidR="004F63AA" w:rsidRPr="00F32EA4" w:rsidTr="004F63AA">
        <w:trPr>
          <w:trHeight w:val="825"/>
        </w:trPr>
        <w:tc>
          <w:tcPr>
            <w:tcW w:w="1681" w:type="pct"/>
          </w:tcPr>
          <w:p w:rsidR="004F63AA" w:rsidRDefault="004F63AA" w:rsidP="009C1FFB">
            <w:pPr>
              <w:pStyle w:val="tabelalewa"/>
            </w:pPr>
          </w:p>
          <w:p w:rsidR="004F63AA" w:rsidRDefault="004F63AA" w:rsidP="009C1FFB">
            <w:pPr>
              <w:pStyle w:val="tabelalewa"/>
            </w:pPr>
            <w:r>
              <w:t xml:space="preserve"> </w:t>
            </w:r>
            <w:r>
              <w:sym w:font="Symbol" w:char="F02D"/>
            </w:r>
            <w:r>
              <w:t>układ technologiczny magazynu</w:t>
            </w:r>
          </w:p>
          <w:p w:rsidR="004F63AA" w:rsidRDefault="004F63AA" w:rsidP="00C6748F">
            <w:pPr>
              <w:pStyle w:val="tabelalewa"/>
            </w:pPr>
            <w:r>
              <w:t xml:space="preserve"> </w:t>
            </w:r>
            <w:r>
              <w:sym w:font="Symbol" w:char="F02D"/>
            </w:r>
            <w:r>
              <w:t>zasady rozmieszczania towarów</w:t>
            </w:r>
          </w:p>
        </w:tc>
        <w:tc>
          <w:tcPr>
            <w:tcW w:w="2003" w:type="pct"/>
            <w:vAlign w:val="center"/>
          </w:tcPr>
          <w:p w:rsidR="004F63AA" w:rsidRDefault="004F63AA" w:rsidP="00A619CC">
            <w:pPr>
              <w:pStyle w:val="tabelalewa"/>
            </w:pPr>
            <w:r>
              <w:t>AU.22.1(3)1 wymienić układy technologiczne magazynów.</w:t>
            </w:r>
          </w:p>
          <w:p w:rsidR="004F63AA" w:rsidRDefault="004F63AA" w:rsidP="00C6748F">
            <w:pPr>
              <w:pStyle w:val="tabelalewa"/>
            </w:pPr>
            <w:r>
              <w:t xml:space="preserve"> AU.22.1(3)2 optymalizować przestrzeń magazynową.</w:t>
            </w:r>
          </w:p>
          <w:p w:rsidR="004F63AA" w:rsidRDefault="004F63AA" w:rsidP="00C6748F">
            <w:pPr>
              <w:pStyle w:val="tabelalewa"/>
            </w:pPr>
            <w:r>
              <w:t>AU.22.1(3) 3. obliczyć liczbę miejsc składowania</w:t>
            </w:r>
          </w:p>
          <w:p w:rsidR="004F63AA" w:rsidRDefault="004F63AA" w:rsidP="00C6748F">
            <w:pPr>
              <w:pStyle w:val="tabelalewa"/>
            </w:pPr>
            <w:r>
              <w:t>AU.22.1(3) 4.obliczyć podstawowy moduł składowania</w:t>
            </w:r>
          </w:p>
          <w:p w:rsidR="004F63AA" w:rsidRDefault="004F63AA" w:rsidP="00C6748F">
            <w:pPr>
              <w:pStyle w:val="tabelalewa"/>
            </w:pPr>
            <w:r>
              <w:t>AU.22.1(3)5 analizować przepływ towarów</w:t>
            </w:r>
          </w:p>
          <w:p w:rsidR="004F63AA" w:rsidRDefault="004F63AA" w:rsidP="00C6748F">
            <w:pPr>
              <w:pStyle w:val="tabelalewa"/>
            </w:pPr>
            <w:r>
              <w:t>AU.22.1(3)6 planować zagospodarowanie przestrzeni magazynowej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15</w:t>
            </w:r>
          </w:p>
        </w:tc>
      </w:tr>
      <w:tr w:rsidR="004F63AA" w:rsidRPr="00F32EA4" w:rsidTr="004F63AA">
        <w:trPr>
          <w:trHeight w:val="355"/>
        </w:trPr>
        <w:tc>
          <w:tcPr>
            <w:tcW w:w="1681" w:type="pct"/>
          </w:tcPr>
          <w:p w:rsidR="004F63AA" w:rsidRDefault="004F63AA" w:rsidP="00396AED">
            <w:pPr>
              <w:pStyle w:val="tabelalewa"/>
            </w:pPr>
            <w:r>
              <w:lastRenderedPageBreak/>
              <w:t xml:space="preserve"> </w:t>
            </w:r>
            <w:r>
              <w:sym w:font="Symbol" w:char="F02D"/>
            </w:r>
            <w:r>
              <w:t>infrastruktura magazynowa.</w:t>
            </w:r>
          </w:p>
          <w:p w:rsidR="004F63AA" w:rsidRDefault="004F63AA" w:rsidP="009C1FFB">
            <w:pPr>
              <w:pStyle w:val="tabelalewa"/>
            </w:pPr>
          </w:p>
        </w:tc>
        <w:tc>
          <w:tcPr>
            <w:tcW w:w="2003" w:type="pct"/>
            <w:vAlign w:val="center"/>
          </w:tcPr>
          <w:p w:rsidR="004F63AA" w:rsidRDefault="004F63AA" w:rsidP="00396AED">
            <w:pPr>
              <w:pStyle w:val="tabelalewa"/>
            </w:pPr>
            <w:r>
              <w:rPr>
                <w:lang w:val="pl-PL"/>
              </w:rPr>
              <w:t>A</w:t>
            </w:r>
            <w:r>
              <w:t xml:space="preserve">U.22.1(3)3 dobrać wyposażenie magazynu do składowanych jednostek. </w:t>
            </w:r>
          </w:p>
          <w:p w:rsidR="004F63AA" w:rsidRDefault="004F63AA" w:rsidP="00396AED">
            <w:pPr>
              <w:pStyle w:val="tabelalewa"/>
            </w:pPr>
            <w:r>
              <w:t>AU.22.1(4)1 charakteryzować wyposażenie magazynowe.</w:t>
            </w:r>
          </w:p>
          <w:p w:rsidR="004F63AA" w:rsidRDefault="004F63AA" w:rsidP="00396AED">
            <w:pPr>
              <w:pStyle w:val="tabelalewa"/>
            </w:pPr>
            <w:r>
              <w:t xml:space="preserve"> AU.22.1(4)2 charakteryzować urządzenia pomocnicze wykorzystywane w magazynach.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5</w:t>
            </w:r>
          </w:p>
        </w:tc>
      </w:tr>
      <w:tr w:rsidR="004F63AA" w:rsidRPr="00F32EA4" w:rsidTr="004F63AA">
        <w:trPr>
          <w:trHeight w:val="585"/>
        </w:trPr>
        <w:tc>
          <w:tcPr>
            <w:tcW w:w="1681" w:type="pct"/>
          </w:tcPr>
          <w:p w:rsidR="004F63AA" w:rsidRDefault="004F63AA" w:rsidP="00C6748F">
            <w:pPr>
              <w:pStyle w:val="tabelalewa"/>
            </w:pPr>
            <w:r>
              <w:sym w:font="Symbol" w:char="F02D"/>
            </w:r>
            <w:r>
              <w:t>urządzenia transportu bliskiego</w:t>
            </w:r>
          </w:p>
          <w:p w:rsidR="004F63AA" w:rsidRDefault="004F63AA" w:rsidP="00C6748F">
            <w:pPr>
              <w:pStyle w:val="tabelalewa"/>
            </w:pPr>
            <w:r>
              <w:t xml:space="preserve"> </w:t>
            </w:r>
            <w:r>
              <w:sym w:font="Symbol" w:char="F02D"/>
            </w:r>
            <w:r>
              <w:t>urządzenia techniczne, urządzenia kontrolno- pomiarowe w magazynie</w:t>
            </w:r>
          </w:p>
          <w:p w:rsidR="004F63AA" w:rsidRDefault="004F63AA" w:rsidP="00396AED">
            <w:pPr>
              <w:pStyle w:val="tabelalewa"/>
            </w:pPr>
          </w:p>
        </w:tc>
        <w:tc>
          <w:tcPr>
            <w:tcW w:w="2003" w:type="pct"/>
            <w:vAlign w:val="center"/>
          </w:tcPr>
          <w:p w:rsidR="004F63AA" w:rsidRDefault="004F63AA" w:rsidP="00396AED">
            <w:pPr>
              <w:pStyle w:val="tabelalewa"/>
            </w:pPr>
            <w:r>
              <w:t xml:space="preserve">AU.22.1(4)3 dobierać urządzenia techniczne do wykonywanych operacji magazynowych. </w:t>
            </w:r>
          </w:p>
          <w:p w:rsidR="004F63AA" w:rsidRDefault="004F63AA" w:rsidP="00396AED">
            <w:pPr>
              <w:pStyle w:val="tabelalewa"/>
            </w:pPr>
            <w:r>
              <w:t xml:space="preserve">AU.22.1(4)4 wymieniać urządzenia kontrolno-pomiarowe wykorzystywane w magazynach. </w:t>
            </w:r>
          </w:p>
          <w:p w:rsidR="004F63AA" w:rsidRDefault="004F63AA" w:rsidP="00396AED">
            <w:pPr>
              <w:pStyle w:val="tabelalewa"/>
            </w:pPr>
            <w:r>
              <w:t xml:space="preserve">AU.22.1(4)5 obsługiwać urządzenia pomiarowe w magazynach. </w:t>
            </w:r>
          </w:p>
          <w:p w:rsidR="004F63AA" w:rsidRDefault="004F63AA" w:rsidP="00396AED">
            <w:pPr>
              <w:pStyle w:val="tabelalewa"/>
            </w:pPr>
            <w:r>
              <w:t xml:space="preserve">AU.22.1(5)1 charakteryzować urządzania transportu bliskiego </w:t>
            </w:r>
          </w:p>
          <w:p w:rsidR="004F63AA" w:rsidRDefault="004F63AA" w:rsidP="00396AED">
            <w:pPr>
              <w:pStyle w:val="tabelalewa"/>
              <w:rPr>
                <w:lang w:val="pl-PL"/>
              </w:rPr>
            </w:pPr>
            <w:r>
              <w:t>AU.22.1(5)2 dobrać urządzenia do wykonywanych czynności magazynowych.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10</w:t>
            </w:r>
          </w:p>
        </w:tc>
      </w:tr>
      <w:tr w:rsidR="004F63AA" w:rsidRPr="00F32EA4" w:rsidTr="004F63AA">
        <w:trPr>
          <w:trHeight w:val="330"/>
        </w:trPr>
        <w:tc>
          <w:tcPr>
            <w:tcW w:w="1681" w:type="pct"/>
          </w:tcPr>
          <w:p w:rsidR="004F63AA" w:rsidRPr="00C6748F" w:rsidRDefault="004F63AA" w:rsidP="00396AED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- jednostki ładunkowe</w:t>
            </w:r>
          </w:p>
        </w:tc>
        <w:tc>
          <w:tcPr>
            <w:tcW w:w="2003" w:type="pct"/>
            <w:vAlign w:val="center"/>
          </w:tcPr>
          <w:p w:rsidR="004F63AA" w:rsidRDefault="004F63AA" w:rsidP="00396AED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AU.22. rozróżnia jednostki ładunkowe</w:t>
            </w:r>
          </w:p>
          <w:p w:rsidR="004F63AA" w:rsidRDefault="004F63AA" w:rsidP="00396AED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AU.22. potrafi dobrać jednostki ładunkowe do ładunku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5</w:t>
            </w:r>
          </w:p>
        </w:tc>
      </w:tr>
      <w:tr w:rsidR="004F63AA" w:rsidRPr="00F32EA4" w:rsidTr="004F63AA">
        <w:trPr>
          <w:trHeight w:val="1185"/>
        </w:trPr>
        <w:tc>
          <w:tcPr>
            <w:tcW w:w="1681" w:type="pct"/>
          </w:tcPr>
          <w:p w:rsidR="004F63AA" w:rsidRDefault="004F63AA" w:rsidP="00396AED">
            <w:pPr>
              <w:pStyle w:val="tabelalewa"/>
              <w:rPr>
                <w:lang w:val="pl-PL"/>
              </w:rPr>
            </w:pPr>
          </w:p>
          <w:p w:rsidR="004F63AA" w:rsidRDefault="004F63AA" w:rsidP="00396AED">
            <w:pPr>
              <w:pStyle w:val="tabelalewa"/>
              <w:rPr>
                <w:lang w:val="pl-PL"/>
              </w:rPr>
            </w:pPr>
          </w:p>
          <w:p w:rsidR="004F63AA" w:rsidRDefault="004F63AA" w:rsidP="00396AED">
            <w:pPr>
              <w:pStyle w:val="tabelalewa"/>
              <w:rPr>
                <w:b/>
                <w:sz w:val="28"/>
                <w:szCs w:val="28"/>
                <w:lang w:val="pl-PL"/>
              </w:rPr>
            </w:pPr>
          </w:p>
          <w:p w:rsidR="00515183" w:rsidRPr="00515183" w:rsidRDefault="00515183" w:rsidP="00396AED">
            <w:pPr>
              <w:pStyle w:val="tabelalewa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03" w:type="pct"/>
            <w:vAlign w:val="center"/>
          </w:tcPr>
          <w:p w:rsidR="004F63AA" w:rsidRDefault="004F63AA" w:rsidP="00396AED">
            <w:pPr>
              <w:pStyle w:val="tabelalewa"/>
              <w:rPr>
                <w:lang w:val="pl-PL"/>
              </w:rPr>
            </w:pP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</w:tr>
      <w:tr w:rsidR="004F63AA" w:rsidRPr="00F32EA4" w:rsidTr="004F63AA">
        <w:trPr>
          <w:trHeight w:val="427"/>
        </w:trPr>
        <w:tc>
          <w:tcPr>
            <w:tcW w:w="1681" w:type="pct"/>
          </w:tcPr>
          <w:p w:rsidR="004F63AA" w:rsidRDefault="004F63AA" w:rsidP="00396AED">
            <w:pPr>
              <w:pStyle w:val="tabelalewa"/>
            </w:pPr>
            <w:r>
              <w:sym w:font="Symbol" w:char="F02D"/>
            </w:r>
            <w:r>
              <w:t xml:space="preserve">zadania magazynów w systemach logistycznych </w:t>
            </w:r>
            <w:r>
              <w:sym w:font="Symbol" w:char="F02D"/>
            </w:r>
            <w:r>
              <w:t xml:space="preserve">magazyn jako ogniwo systemu logistycznego </w:t>
            </w:r>
          </w:p>
        </w:tc>
        <w:tc>
          <w:tcPr>
            <w:tcW w:w="2003" w:type="pct"/>
            <w:vAlign w:val="center"/>
          </w:tcPr>
          <w:p w:rsidR="004F63AA" w:rsidRDefault="004F63AA" w:rsidP="00C6748F">
            <w:pPr>
              <w:pStyle w:val="tabelalewa"/>
              <w:rPr>
                <w:lang w:val="pl-PL"/>
              </w:rPr>
            </w:pPr>
            <w:r>
              <w:t xml:space="preserve"> </w:t>
            </w:r>
            <w:r>
              <w:rPr>
                <w:lang w:val="pl-PL"/>
              </w:rPr>
              <w:t>AU.22. Określa zadania magazynu w systemach logistycznych</w:t>
            </w:r>
          </w:p>
          <w:p w:rsidR="004F63AA" w:rsidRPr="00FB029F" w:rsidRDefault="004F63AA" w:rsidP="00C6748F">
            <w:pPr>
              <w:pStyle w:val="tabelalewa"/>
              <w:rPr>
                <w:lang w:val="pl-PL"/>
              </w:rPr>
            </w:pP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5</w:t>
            </w:r>
          </w:p>
        </w:tc>
      </w:tr>
      <w:tr w:rsidR="004F63AA" w:rsidRPr="00F32EA4" w:rsidTr="004F63AA">
        <w:trPr>
          <w:trHeight w:val="1740"/>
        </w:trPr>
        <w:tc>
          <w:tcPr>
            <w:tcW w:w="1681" w:type="pct"/>
          </w:tcPr>
          <w:p w:rsidR="004F63AA" w:rsidRDefault="004F63AA" w:rsidP="00714523">
            <w:pPr>
              <w:pStyle w:val="tabelalewa"/>
            </w:pPr>
            <w:r>
              <w:sym w:font="Symbol" w:char="F02D"/>
            </w:r>
            <w:r>
              <w:t>przepisy prawa i normy dotyczące zabezpieczenia, składowania i gospodarki opakowaniami</w:t>
            </w:r>
          </w:p>
        </w:tc>
        <w:tc>
          <w:tcPr>
            <w:tcW w:w="2003" w:type="pct"/>
            <w:vAlign w:val="center"/>
          </w:tcPr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AU.22. Zna przepisy prawa związane z magazynowaniem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AU.22. Potrafi zastosować przepisy prawa związane z magazynowaniem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 Zna przepisy dotyczące zabezpieczania zapasów magazynowych i przygotowania ich do transportu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 xml:space="preserve">AU.22. Zna zasady oznakowania 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AU.22. 12 Potrafi wskazać przepisy prawa dotyczące gospodarowania opakowaniami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t>AU.22.1(14)3 charakteryzować regulacje prawne krajowe i międzynarodowe dotyczące odpadów opakowaniowych</w:t>
            </w:r>
          </w:p>
          <w:p w:rsidR="004F63AA" w:rsidRDefault="004F63AA" w:rsidP="00714523">
            <w:pPr>
              <w:pStyle w:val="tabelalewa"/>
            </w:pP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15</w:t>
            </w:r>
          </w:p>
        </w:tc>
      </w:tr>
      <w:tr w:rsidR="004F63AA" w:rsidRPr="00F32EA4" w:rsidTr="004F63AA">
        <w:trPr>
          <w:trHeight w:val="435"/>
        </w:trPr>
        <w:tc>
          <w:tcPr>
            <w:tcW w:w="1681" w:type="pct"/>
          </w:tcPr>
          <w:p w:rsidR="004F63AA" w:rsidRPr="00714523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- rodzaje zapasów</w:t>
            </w:r>
          </w:p>
        </w:tc>
        <w:tc>
          <w:tcPr>
            <w:tcW w:w="2003" w:type="pct"/>
            <w:vAlign w:val="center"/>
          </w:tcPr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 zna pojęcie zapasów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AU.22. Rozróżnia różne typy zapasów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10</w:t>
            </w:r>
          </w:p>
        </w:tc>
      </w:tr>
      <w:tr w:rsidR="004F63AA" w:rsidRPr="00F32EA4" w:rsidTr="004F63AA">
        <w:trPr>
          <w:trHeight w:val="1260"/>
        </w:trPr>
        <w:tc>
          <w:tcPr>
            <w:tcW w:w="1681" w:type="pct"/>
          </w:tcPr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lastRenderedPageBreak/>
              <w:t>- przepisy dotyczące dokumentacji magazynowej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- opracowanie dokumentów magazynowych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</w:p>
        </w:tc>
        <w:tc>
          <w:tcPr>
            <w:tcW w:w="2003" w:type="pct"/>
            <w:vAlign w:val="center"/>
          </w:tcPr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AU.22(17) potrafi zastosować przepisy związane z dokumentacją magazynową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AU.22(17) Rozróżnia dokumenty magazynowe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AU.22(17) potrafi uzupełniać dokumenty magazynowe</w:t>
            </w:r>
          </w:p>
          <w:p w:rsidR="004F63AA" w:rsidRPr="00064EA0" w:rsidRDefault="004F63AA" w:rsidP="00714523">
            <w:pPr>
              <w:pStyle w:val="tabelalewa"/>
              <w:rPr>
                <w:b/>
                <w:lang w:val="pl-PL"/>
              </w:rPr>
            </w:pPr>
            <w:r>
              <w:rPr>
                <w:lang w:val="pl-PL"/>
              </w:rPr>
              <w:t>PKZ.AU.ag.</w:t>
            </w:r>
            <w:r>
              <w:t xml:space="preserve"> opracowuje dokumenty w prowadzeniu działalności logistycznej;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20</w:t>
            </w:r>
          </w:p>
        </w:tc>
      </w:tr>
      <w:tr w:rsidR="004F63AA" w:rsidRPr="00F32EA4" w:rsidTr="004F63AA">
        <w:trPr>
          <w:trHeight w:val="278"/>
        </w:trPr>
        <w:tc>
          <w:tcPr>
            <w:tcW w:w="1681" w:type="pct"/>
          </w:tcPr>
          <w:p w:rsidR="004F63AA" w:rsidRDefault="004F63AA" w:rsidP="00714523">
            <w:pPr>
              <w:pStyle w:val="tabelalewa"/>
              <w:rPr>
                <w:lang w:val="pl-PL"/>
              </w:rPr>
            </w:pP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prowadzenie korespondencji związanej z prowadzeniem działalności w zakresie magazynowania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</w:p>
        </w:tc>
        <w:tc>
          <w:tcPr>
            <w:tcW w:w="2003" w:type="pct"/>
            <w:vAlign w:val="center"/>
          </w:tcPr>
          <w:p w:rsidR="004F63AA" w:rsidRDefault="004F63AA" w:rsidP="00714523">
            <w:pPr>
              <w:pStyle w:val="tabelalewa"/>
              <w:rPr>
                <w:lang w:val="pl-PL"/>
              </w:rPr>
            </w:pP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PDG.8. zapytanie ofertowe, ofertę, prowadzi dokumentację związaną z reklamacją</w:t>
            </w:r>
          </w:p>
          <w:p w:rsidR="004F63AA" w:rsidRDefault="004F63AA" w:rsidP="00714523">
            <w:pPr>
              <w:pStyle w:val="tabelalewa"/>
              <w:rPr>
                <w:lang w:val="pl-PL"/>
              </w:rPr>
            </w:pPr>
            <w:r>
              <w:t>PKZ(AU.ag)(3)2stosować zasady numerowania i oznaczania dokumentacji wchodzącej, wychodzącej i wewnętrznej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12</w:t>
            </w:r>
          </w:p>
        </w:tc>
      </w:tr>
      <w:tr w:rsidR="004F63AA" w:rsidRPr="00F32EA4" w:rsidTr="004F63AA">
        <w:trPr>
          <w:trHeight w:val="825"/>
        </w:trPr>
        <w:tc>
          <w:tcPr>
            <w:tcW w:w="1681" w:type="pct"/>
          </w:tcPr>
          <w:p w:rsidR="004F63AA" w:rsidRPr="00244E28" w:rsidRDefault="004F63AA" w:rsidP="00396AED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- archiwizowanie  i przechowywanie dokumentów</w:t>
            </w:r>
          </w:p>
        </w:tc>
        <w:tc>
          <w:tcPr>
            <w:tcW w:w="2003" w:type="pct"/>
            <w:vAlign w:val="center"/>
          </w:tcPr>
          <w:p w:rsidR="004F63AA" w:rsidRDefault="004F63AA" w:rsidP="00C6748F">
            <w:pPr>
              <w:pStyle w:val="tabelalewa"/>
            </w:pPr>
            <w:r>
              <w:t>PKZ(AU.ag)(4)1 zabezpieczyć dokumentację zgodnie z obowiązującymi zasadami i przepisami</w:t>
            </w:r>
          </w:p>
          <w:p w:rsidR="004F63AA" w:rsidRDefault="004F63AA" w:rsidP="00C6748F">
            <w:pPr>
              <w:pStyle w:val="tabelalewa"/>
            </w:pPr>
            <w:r>
              <w:t>PKZ(AU.ag)(4)2 przechować dokumentację zgodnie z zasadami i przepisami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12</w:t>
            </w:r>
          </w:p>
        </w:tc>
      </w:tr>
      <w:tr w:rsidR="004F63AA" w:rsidRPr="00F32EA4" w:rsidTr="004F63AA">
        <w:trPr>
          <w:trHeight w:val="270"/>
        </w:trPr>
        <w:tc>
          <w:tcPr>
            <w:tcW w:w="1681" w:type="pct"/>
          </w:tcPr>
          <w:p w:rsidR="004F63AA" w:rsidRPr="00C31D93" w:rsidRDefault="004F63AA" w:rsidP="00396AED">
            <w:pPr>
              <w:pStyle w:val="tabelalewa"/>
              <w:rPr>
                <w:b/>
                <w:sz w:val="24"/>
                <w:szCs w:val="24"/>
                <w:lang w:val="pl-PL"/>
              </w:rPr>
            </w:pPr>
            <w:r w:rsidRPr="00C31D93">
              <w:rPr>
                <w:b/>
                <w:sz w:val="24"/>
                <w:szCs w:val="24"/>
                <w:lang w:val="pl-PL"/>
              </w:rPr>
              <w:t>KLASA 3</w:t>
            </w:r>
          </w:p>
          <w:p w:rsidR="004F63AA" w:rsidRDefault="004F63AA" w:rsidP="00396AED">
            <w:pPr>
              <w:pStyle w:val="tabelalewa"/>
              <w:rPr>
                <w:lang w:val="pl-PL"/>
              </w:rPr>
            </w:pPr>
          </w:p>
        </w:tc>
        <w:tc>
          <w:tcPr>
            <w:tcW w:w="2003" w:type="pct"/>
            <w:vAlign w:val="center"/>
          </w:tcPr>
          <w:p w:rsidR="004F63AA" w:rsidRDefault="004F63AA" w:rsidP="00C31D93">
            <w:pPr>
              <w:pStyle w:val="tabelalewa"/>
            </w:pPr>
          </w:p>
          <w:p w:rsidR="004F63AA" w:rsidRDefault="004F63AA" w:rsidP="00C6748F">
            <w:pPr>
              <w:pStyle w:val="tabelalewa"/>
            </w:pP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</w:tr>
      <w:tr w:rsidR="004F63AA" w:rsidRPr="00F32EA4" w:rsidTr="004F63AA">
        <w:trPr>
          <w:trHeight w:val="1290"/>
        </w:trPr>
        <w:tc>
          <w:tcPr>
            <w:tcW w:w="1681" w:type="pct"/>
          </w:tcPr>
          <w:p w:rsidR="004F63AA" w:rsidRDefault="004F63AA" w:rsidP="00396AED">
            <w:pPr>
              <w:pStyle w:val="tabelalewa"/>
              <w:rPr>
                <w:lang w:val="pl-PL"/>
              </w:rPr>
            </w:pPr>
          </w:p>
          <w:p w:rsidR="004F63AA" w:rsidRDefault="004F63AA" w:rsidP="00396AED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- inwentaryzacja</w:t>
            </w:r>
          </w:p>
        </w:tc>
        <w:tc>
          <w:tcPr>
            <w:tcW w:w="2003" w:type="pct"/>
            <w:vAlign w:val="center"/>
          </w:tcPr>
          <w:p w:rsidR="004F63AA" w:rsidRDefault="004F63AA" w:rsidP="00C6748F">
            <w:pPr>
              <w:pStyle w:val="tabelalewa"/>
            </w:pPr>
            <w:r>
              <w:t xml:space="preserve">AU.22.1(11)1 określić etapy przeprowadzania inwentaryzacji </w:t>
            </w:r>
          </w:p>
          <w:p w:rsidR="004F63AA" w:rsidRDefault="004F63AA" w:rsidP="00C6748F">
            <w:pPr>
              <w:pStyle w:val="tabelalewa"/>
            </w:pPr>
            <w:r>
              <w:t xml:space="preserve">AU.22.1(11)2 dokonać inwentaryzacji towaru na odpowiednich dokumentach </w:t>
            </w:r>
          </w:p>
          <w:p w:rsidR="004F63AA" w:rsidRPr="00C31D93" w:rsidRDefault="004F63AA" w:rsidP="00C6748F">
            <w:pPr>
              <w:pStyle w:val="tabelalewa"/>
              <w:rPr>
                <w:lang w:val="pl-PL"/>
              </w:rPr>
            </w:pPr>
            <w:r>
              <w:t>AU.22.1(11)3 przygotować raport z</w:t>
            </w:r>
            <w:r>
              <w:rPr>
                <w:lang w:val="pl-PL"/>
              </w:rPr>
              <w:t xml:space="preserve"> inwentaryzacji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10</w:t>
            </w:r>
          </w:p>
        </w:tc>
      </w:tr>
      <w:tr w:rsidR="004F63AA" w:rsidRPr="00F32EA4" w:rsidTr="004F63AA">
        <w:trPr>
          <w:trHeight w:val="233"/>
        </w:trPr>
        <w:tc>
          <w:tcPr>
            <w:tcW w:w="1681" w:type="pct"/>
          </w:tcPr>
          <w:p w:rsidR="004F63AA" w:rsidRDefault="004F63AA" w:rsidP="00396AED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-</w:t>
            </w:r>
            <w:r>
              <w:t xml:space="preserve"> systemy przepływu informacji i systemy informatyczne w procesie magazynowania;</w:t>
            </w:r>
          </w:p>
        </w:tc>
        <w:tc>
          <w:tcPr>
            <w:tcW w:w="2003" w:type="pct"/>
            <w:vAlign w:val="center"/>
          </w:tcPr>
          <w:p w:rsidR="004F63AA" w:rsidRDefault="004F63AA" w:rsidP="00C6748F">
            <w:pPr>
              <w:pStyle w:val="tabelalewa"/>
            </w:pPr>
            <w:r>
              <w:t>AU.22.1(16)stosuje systemy przepływu informacji i systemy informatyczne w procesie magazynowania;</w:t>
            </w:r>
          </w:p>
          <w:p w:rsidR="004F63AA" w:rsidRDefault="004F63AA" w:rsidP="00C6748F">
            <w:pPr>
              <w:pStyle w:val="tabelalewa"/>
            </w:pPr>
            <w:r>
              <w:t xml:space="preserve">AU.22.1(16)1 stosować informatyczne systemy magazynowe </w:t>
            </w:r>
          </w:p>
          <w:p w:rsidR="004F63AA" w:rsidRDefault="004F63AA" w:rsidP="00C6748F">
            <w:pPr>
              <w:pStyle w:val="tabelalewa"/>
            </w:pPr>
            <w:r>
              <w:t xml:space="preserve">AU.22.1(16)2 stosować systemy elektronicznej wymiany danych </w:t>
            </w:r>
          </w:p>
          <w:p w:rsidR="004F63AA" w:rsidRDefault="004F63AA" w:rsidP="00C6748F">
            <w:pPr>
              <w:pStyle w:val="tabelalewa"/>
            </w:pPr>
            <w:r>
              <w:t xml:space="preserve">AU.22.1(16)3 stosować systemy automatycznej identyfikacji i kompletacji towaru i miejsc składowania AU.22.1(16)4 gromadzić dane w systemie automatycznej identyfikacji </w:t>
            </w:r>
          </w:p>
          <w:p w:rsidR="004F63AA" w:rsidRPr="00EA0841" w:rsidRDefault="004F63AA" w:rsidP="00C6748F">
            <w:pPr>
              <w:pStyle w:val="tabelalewa"/>
              <w:rPr>
                <w:lang w:val="pl-PL"/>
              </w:rPr>
            </w:pPr>
            <w:r>
              <w:t>AU.22.1(16)5 rejestrować przepływ</w:t>
            </w:r>
            <w:r>
              <w:rPr>
                <w:lang w:val="pl-PL"/>
              </w:rPr>
              <w:t xml:space="preserve"> towarów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15</w:t>
            </w:r>
          </w:p>
        </w:tc>
      </w:tr>
      <w:tr w:rsidR="004F63AA" w:rsidRPr="00F32EA4" w:rsidTr="004F63AA">
        <w:trPr>
          <w:trHeight w:val="853"/>
        </w:trPr>
        <w:tc>
          <w:tcPr>
            <w:tcW w:w="1681" w:type="pct"/>
          </w:tcPr>
          <w:p w:rsidR="004F63AA" w:rsidRDefault="004F63AA" w:rsidP="00396AED">
            <w:pPr>
              <w:pStyle w:val="tabelalewa"/>
              <w:rPr>
                <w:lang w:val="pl-PL"/>
              </w:rPr>
            </w:pPr>
          </w:p>
          <w:p w:rsidR="004F63AA" w:rsidRDefault="004F63AA" w:rsidP="00396AED">
            <w:pPr>
              <w:pStyle w:val="tabelalewa"/>
            </w:pPr>
            <w:r>
              <w:rPr>
                <w:lang w:val="pl-PL"/>
              </w:rPr>
              <w:t xml:space="preserve">- </w:t>
            </w:r>
            <w:r>
              <w:t>koszty usług magazynowych.</w:t>
            </w:r>
          </w:p>
          <w:p w:rsidR="004F63AA" w:rsidRDefault="004F63AA" w:rsidP="00396AED">
            <w:pPr>
              <w:pStyle w:val="tabelalewa"/>
            </w:pPr>
          </w:p>
          <w:p w:rsidR="004F63AA" w:rsidRPr="00244E28" w:rsidRDefault="004F63AA" w:rsidP="00396AED">
            <w:pPr>
              <w:pStyle w:val="tabelalewa"/>
              <w:rPr>
                <w:lang w:val="pl-PL"/>
              </w:rPr>
            </w:pPr>
          </w:p>
        </w:tc>
        <w:tc>
          <w:tcPr>
            <w:tcW w:w="2003" w:type="pct"/>
            <w:vAlign w:val="center"/>
          </w:tcPr>
          <w:p w:rsidR="004F63AA" w:rsidRDefault="004F63AA" w:rsidP="00C6748F">
            <w:pPr>
              <w:pStyle w:val="tabelalewa"/>
            </w:pPr>
            <w:r>
              <w:t>AU.22.1(18)określa koszty usług magazynowych.</w:t>
            </w:r>
          </w:p>
          <w:p w:rsidR="004F63AA" w:rsidRDefault="004F63AA" w:rsidP="00C6748F">
            <w:pPr>
              <w:pStyle w:val="tabelalewa"/>
            </w:pPr>
            <w:r>
              <w:t xml:space="preserve">AU.22.1(18)1 identyfikować koszty </w:t>
            </w:r>
          </w:p>
          <w:p w:rsidR="004F63AA" w:rsidRDefault="004F63AA" w:rsidP="00C6748F">
            <w:pPr>
              <w:pStyle w:val="tabelalewa"/>
            </w:pPr>
            <w:r>
              <w:t>AU.22.1(18)2 charakteryzować koszty według różnych kryteriów AU.22.1(18)3 określić koszty usług logistycznych;</w:t>
            </w: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685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15</w:t>
            </w: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</w:tr>
      <w:tr w:rsidR="004F63AA" w:rsidRPr="00F32EA4" w:rsidTr="004F63AA">
        <w:trPr>
          <w:trHeight w:val="1110"/>
        </w:trPr>
        <w:tc>
          <w:tcPr>
            <w:tcW w:w="1681" w:type="pct"/>
          </w:tcPr>
          <w:p w:rsidR="004F63AA" w:rsidRDefault="004F63AA" w:rsidP="004F63AA">
            <w:pPr>
              <w:pStyle w:val="tabelalewa"/>
            </w:pPr>
          </w:p>
          <w:p w:rsidR="004F63AA" w:rsidRDefault="004F63AA" w:rsidP="004F63AA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- analiza kosztów, bilans</w:t>
            </w:r>
          </w:p>
        </w:tc>
        <w:tc>
          <w:tcPr>
            <w:tcW w:w="2003" w:type="pct"/>
            <w:vAlign w:val="center"/>
          </w:tcPr>
          <w:p w:rsidR="004F63AA" w:rsidRDefault="004F63AA" w:rsidP="004F63AA">
            <w:pPr>
              <w:pStyle w:val="tabelalewa"/>
            </w:pPr>
          </w:p>
          <w:p w:rsidR="004F63AA" w:rsidRDefault="004F63AA" w:rsidP="004F63AA">
            <w:pPr>
              <w:pStyle w:val="tabelalewa"/>
            </w:pPr>
            <w:r>
              <w:t xml:space="preserve">AU.22.1(18)4 analizować wpływ kosztów na efektywność gospodarowania; </w:t>
            </w:r>
          </w:p>
          <w:p w:rsidR="004F63AA" w:rsidRDefault="004F63AA" w:rsidP="004F63AA">
            <w:pPr>
              <w:pStyle w:val="tabelalewa"/>
            </w:pPr>
            <w:r>
              <w:t>AU.22.1(18)5 uzasadnić koszty</w:t>
            </w:r>
          </w:p>
          <w:p w:rsidR="00FD3A40" w:rsidRPr="00FD3A40" w:rsidRDefault="00FD3A40" w:rsidP="004F63AA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AU.22 Uzupełnia dokumentację rozliczeniową</w:t>
            </w:r>
          </w:p>
          <w:p w:rsidR="004F63AA" w:rsidRDefault="004F63AA" w:rsidP="00C6748F">
            <w:pPr>
              <w:pStyle w:val="tabelalewa"/>
            </w:pPr>
          </w:p>
        </w:tc>
        <w:tc>
          <w:tcPr>
            <w:tcW w:w="631" w:type="pct"/>
          </w:tcPr>
          <w:p w:rsidR="004F63AA" w:rsidRDefault="004F63AA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proofErr w:type="spellStart"/>
            <w:r>
              <w:rPr>
                <w:rFonts w:eastAsia="Times New Roman"/>
                <w:lang w:val="pl-PL"/>
              </w:rPr>
              <w:t>pp</w:t>
            </w:r>
            <w:proofErr w:type="spellEnd"/>
          </w:p>
        </w:tc>
        <w:tc>
          <w:tcPr>
            <w:tcW w:w="685" w:type="pct"/>
          </w:tcPr>
          <w:p w:rsidR="004F63AA" w:rsidRDefault="004F63AA" w:rsidP="004F63AA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4F63AA" w:rsidP="004F63AA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FD3A40" w:rsidP="004F63AA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5</w:t>
            </w:r>
          </w:p>
        </w:tc>
      </w:tr>
      <w:tr w:rsidR="004F63AA" w:rsidRPr="00F32EA4" w:rsidTr="00FD3A40">
        <w:trPr>
          <w:trHeight w:val="1702"/>
        </w:trPr>
        <w:tc>
          <w:tcPr>
            <w:tcW w:w="1681" w:type="pct"/>
          </w:tcPr>
          <w:p w:rsidR="00515183" w:rsidRDefault="00515183" w:rsidP="00396AED">
            <w:pPr>
              <w:pStyle w:val="tabelalewa"/>
              <w:rPr>
                <w:lang w:val="pl-PL"/>
              </w:rPr>
            </w:pPr>
          </w:p>
          <w:p w:rsidR="004F63AA" w:rsidRDefault="00515183" w:rsidP="00396AED">
            <w:pPr>
              <w:pStyle w:val="tabelalewa"/>
            </w:pPr>
            <w:r>
              <w:rPr>
                <w:lang w:val="pl-PL"/>
              </w:rPr>
              <w:t>-</w:t>
            </w:r>
            <w:r>
              <w:t>zasad</w:t>
            </w:r>
            <w:r>
              <w:rPr>
                <w:lang w:val="pl-PL"/>
              </w:rPr>
              <w:t>y</w:t>
            </w:r>
            <w:r>
              <w:t xml:space="preserve"> gospodarki odpadami;</w:t>
            </w:r>
          </w:p>
          <w:p w:rsidR="00515183" w:rsidRDefault="00515183" w:rsidP="00396AED">
            <w:pPr>
              <w:pStyle w:val="tabelalewa"/>
            </w:pPr>
          </w:p>
          <w:p w:rsidR="00515183" w:rsidRDefault="00515183" w:rsidP="00396AED">
            <w:pPr>
              <w:pStyle w:val="tabelalewa"/>
            </w:pPr>
          </w:p>
          <w:p w:rsidR="00515183" w:rsidRDefault="00515183" w:rsidP="00396AED">
            <w:pPr>
              <w:pStyle w:val="tabelalewa"/>
            </w:pPr>
          </w:p>
          <w:p w:rsidR="00515183" w:rsidRDefault="00515183" w:rsidP="00396AED">
            <w:pPr>
              <w:pStyle w:val="tabelalewa"/>
            </w:pPr>
          </w:p>
          <w:p w:rsidR="00515183" w:rsidRDefault="00515183" w:rsidP="00396AED">
            <w:pPr>
              <w:pStyle w:val="tabelalewa"/>
            </w:pPr>
          </w:p>
          <w:p w:rsidR="00515183" w:rsidRDefault="00515183" w:rsidP="00396AED">
            <w:pPr>
              <w:pStyle w:val="tabelalewa"/>
            </w:pPr>
          </w:p>
          <w:p w:rsidR="00515183" w:rsidRDefault="00515183" w:rsidP="00396AED">
            <w:pPr>
              <w:pStyle w:val="tabelalewa"/>
            </w:pPr>
          </w:p>
          <w:p w:rsidR="00515183" w:rsidRDefault="00515183" w:rsidP="00396AED">
            <w:pPr>
              <w:pStyle w:val="tabelalewa"/>
              <w:rPr>
                <w:lang w:val="pl-PL"/>
              </w:rPr>
            </w:pPr>
          </w:p>
        </w:tc>
        <w:tc>
          <w:tcPr>
            <w:tcW w:w="2003" w:type="pct"/>
            <w:vAlign w:val="center"/>
          </w:tcPr>
          <w:p w:rsidR="00515183" w:rsidRDefault="00515183" w:rsidP="00C6748F">
            <w:pPr>
              <w:pStyle w:val="tabelalewa"/>
            </w:pPr>
            <w:r>
              <w:t>AU.22.2(6)1 stosować przepisy prawa dotyczące gospodarki odpadami AU.22.2(6)2 klasyfikować odpady według różnych kryteriów AU.22.2(6)3 segregować odpady</w:t>
            </w:r>
          </w:p>
          <w:p w:rsidR="00515183" w:rsidRDefault="00515183" w:rsidP="00C6748F">
            <w:pPr>
              <w:pStyle w:val="tabelalewa"/>
            </w:pPr>
            <w:r>
              <w:t xml:space="preserve"> AU.22.2(6)4 zabezpieczać odpady </w:t>
            </w:r>
          </w:p>
          <w:p w:rsidR="00515183" w:rsidRDefault="00515183" w:rsidP="00FD3A40">
            <w:pPr>
              <w:pStyle w:val="tabelalewa"/>
            </w:pPr>
            <w:r>
              <w:t xml:space="preserve">AU.22.2(6)5 przygotować odpady do wydania i transportu procesie produkcji w języku polskim i języku obcym. </w:t>
            </w:r>
          </w:p>
        </w:tc>
        <w:tc>
          <w:tcPr>
            <w:tcW w:w="631" w:type="pct"/>
          </w:tcPr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</w:p>
          <w:p w:rsidR="004F63AA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515183" w:rsidRDefault="00515183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85" w:type="pct"/>
          </w:tcPr>
          <w:p w:rsidR="004F63AA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10</w:t>
            </w:r>
          </w:p>
        </w:tc>
      </w:tr>
      <w:tr w:rsidR="00515183" w:rsidRPr="00F32EA4" w:rsidTr="00FD3A40">
        <w:trPr>
          <w:trHeight w:val="358"/>
        </w:trPr>
        <w:tc>
          <w:tcPr>
            <w:tcW w:w="1681" w:type="pct"/>
          </w:tcPr>
          <w:p w:rsidR="00515183" w:rsidRDefault="00FD3A40" w:rsidP="00396AED">
            <w:pPr>
              <w:pStyle w:val="tabelalewa"/>
              <w:rPr>
                <w:lang w:val="pl-PL"/>
              </w:rPr>
            </w:pPr>
            <w:r>
              <w:rPr>
                <w:lang w:val="pl-PL"/>
              </w:rPr>
              <w:t>- Zasady BHP i ochrony środowiska</w:t>
            </w:r>
          </w:p>
        </w:tc>
        <w:tc>
          <w:tcPr>
            <w:tcW w:w="2003" w:type="pct"/>
            <w:vAlign w:val="center"/>
          </w:tcPr>
          <w:p w:rsidR="00FD3A40" w:rsidRDefault="00FD3A40" w:rsidP="00515183">
            <w:pPr>
              <w:pStyle w:val="tabelalewa"/>
            </w:pPr>
            <w:r>
              <w:t>BHP(1)1 wyjaśnić zasady bhp;</w:t>
            </w:r>
          </w:p>
          <w:p w:rsidR="00FD3A40" w:rsidRDefault="00FD3A40" w:rsidP="00515183">
            <w:pPr>
              <w:pStyle w:val="tabelalewa"/>
            </w:pPr>
            <w:r>
              <w:t xml:space="preserve"> BHP(1)2 wyjaśnić zasady ochrony przeciwpożarowej;</w:t>
            </w:r>
          </w:p>
          <w:p w:rsidR="00FD3A40" w:rsidRDefault="00FD3A40" w:rsidP="00515183">
            <w:pPr>
              <w:pStyle w:val="tabelalewa"/>
            </w:pPr>
            <w:r>
              <w:t xml:space="preserve"> BHP(1)3 wyjaśnić zasady ochrony środowiska; </w:t>
            </w:r>
          </w:p>
          <w:p w:rsidR="00FD3A40" w:rsidRDefault="00FD3A40" w:rsidP="00515183">
            <w:pPr>
              <w:pStyle w:val="tabelalewa"/>
            </w:pPr>
            <w:r>
              <w:t>BHP(1)4wyjaśnić zasady ergonomii;</w:t>
            </w:r>
          </w:p>
          <w:p w:rsidR="00FD3A40" w:rsidRDefault="00FD3A40" w:rsidP="00515183">
            <w:pPr>
              <w:pStyle w:val="tabelalewa"/>
            </w:pPr>
            <w:r>
              <w:t xml:space="preserve"> BHP(2)1 scharakteryzować zadania i uprawnienia instytucji oraz służb działających w zakresie ochrony pracy; </w:t>
            </w:r>
          </w:p>
          <w:p w:rsidR="00515183" w:rsidRDefault="00FD3A40" w:rsidP="00515183">
            <w:pPr>
              <w:pStyle w:val="tabelalewa"/>
            </w:pPr>
            <w:r>
              <w:t>BHP(2)2scharakteryzować zadania i uprawnienia instytucji oraz służb działających w zakresie ochrony środowiska</w:t>
            </w:r>
          </w:p>
        </w:tc>
        <w:tc>
          <w:tcPr>
            <w:tcW w:w="631" w:type="pct"/>
          </w:tcPr>
          <w:p w:rsidR="00515183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  <w:p w:rsidR="00FD3A40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</w:p>
        </w:tc>
        <w:tc>
          <w:tcPr>
            <w:tcW w:w="685" w:type="pct"/>
          </w:tcPr>
          <w:p w:rsidR="00515183" w:rsidRDefault="00FD3A40" w:rsidP="00A619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9</w:t>
            </w:r>
          </w:p>
        </w:tc>
      </w:tr>
    </w:tbl>
    <w:p w:rsidR="00D270D3" w:rsidRDefault="00D270D3"/>
    <w:p w:rsidR="00E31F84" w:rsidRPr="00E31F84" w:rsidRDefault="00E31F84" w:rsidP="00E31F84">
      <w:pPr>
        <w:pStyle w:val="Akapitzlist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E31F84">
        <w:rPr>
          <w:b/>
          <w:u w:val="single"/>
        </w:rPr>
        <w:t xml:space="preserve">ZASADY SPRAWDZANIA WIEDZY I OCENIANIA </w:t>
      </w:r>
    </w:p>
    <w:p w:rsidR="00E31F84" w:rsidRDefault="00E31F84" w:rsidP="00E31F84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Uczeń otrzymuje oceny za realizację wymagań edukacyjnych, które zostały określone i podane przez nauczyciela na początku roku. 2. Uczeń oceniany jest za swoje osiągnięcia – wiedzę, umiejętności oraz postawy np. aktywność, kreatywność. 3. Prowadzenie zeszytu przedmiotowego jest obowiązkowe. </w:t>
      </w:r>
    </w:p>
    <w:p w:rsidR="00E31F84" w:rsidRDefault="00E31F84" w:rsidP="00E31F84">
      <w:pPr>
        <w:pStyle w:val="Akapitzlist"/>
        <w:ind w:left="1440"/>
      </w:pPr>
    </w:p>
    <w:p w:rsidR="00E31F84" w:rsidRDefault="00E31F84" w:rsidP="00E31F84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 </w:t>
      </w:r>
      <w:r w:rsidRPr="00E31F84">
        <w:rPr>
          <w:b/>
        </w:rPr>
        <w:t>OBSZARY AKTYWNOŚCI PODLEGAJACE OCENIANIU</w:t>
      </w:r>
      <w:r>
        <w:t xml:space="preserve"> </w:t>
      </w:r>
    </w:p>
    <w:p w:rsidR="00E31F84" w:rsidRDefault="00E31F84" w:rsidP="00E31F84">
      <w:pPr>
        <w:pStyle w:val="Akapitzlist"/>
        <w:spacing w:after="0" w:line="240" w:lineRule="auto"/>
        <w:ind w:left="1080"/>
      </w:pPr>
      <w:r>
        <w:t xml:space="preserve">1. Wiedza i umiejętności przedmiotowe. 2. Aktywność na lekcjach. 3. Praca w grupach. 4. Wkład pracy i zaangażowanie w podejmowane działania. 5. Wytwory ucznia (samodzielne referaty, prezentacje). </w:t>
      </w:r>
    </w:p>
    <w:p w:rsidR="00E31F84" w:rsidRDefault="00E31F84" w:rsidP="00E31F84">
      <w:pPr>
        <w:pStyle w:val="Akapitzlist"/>
        <w:ind w:left="1080"/>
      </w:pPr>
    </w:p>
    <w:p w:rsidR="00E31F84" w:rsidRPr="00E31F84" w:rsidRDefault="00E31F84" w:rsidP="00E31F8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E31F84">
        <w:rPr>
          <w:b/>
        </w:rPr>
        <w:t xml:space="preserve">METODY SPRAWDZANIA OSIĄGNIĘĆ, FORMY POMIARU </w:t>
      </w:r>
    </w:p>
    <w:p w:rsidR="00E31F84" w:rsidRDefault="00E31F84" w:rsidP="00E31F84">
      <w:pPr>
        <w:pStyle w:val="Akapitzlist"/>
        <w:spacing w:after="0" w:line="240" w:lineRule="auto"/>
        <w:ind w:left="1080"/>
      </w:pPr>
      <w:r>
        <w:t xml:space="preserve">Formy ustne: </w:t>
      </w:r>
      <w:r>
        <w:sym w:font="Symbol" w:char="F0B7"/>
      </w:r>
      <w:r>
        <w:t xml:space="preserve"> Odpowiedzi ustne </w:t>
      </w:r>
      <w:r>
        <w:sym w:font="Symbol" w:char="F0B7"/>
      </w:r>
      <w:r>
        <w:t xml:space="preserve"> Aktywność na lekcjach </w:t>
      </w:r>
      <w:r>
        <w:sym w:font="Symbol" w:char="F0B7"/>
      </w:r>
      <w:r>
        <w:t xml:space="preserve"> Prezentacja </w:t>
      </w:r>
      <w:r>
        <w:sym w:font="Symbol" w:char="F0B7"/>
      </w:r>
      <w:r>
        <w:t xml:space="preserve"> Referat </w:t>
      </w:r>
      <w:r>
        <w:sym w:font="Symbol" w:char="F0B7"/>
      </w:r>
      <w:r>
        <w:t xml:space="preserve"> Ćwiczenia Formy pisemne: </w:t>
      </w:r>
      <w:r>
        <w:sym w:font="Symbol" w:char="F0B7"/>
      </w:r>
      <w:r>
        <w:t xml:space="preserve"> Testy </w:t>
      </w:r>
      <w:r>
        <w:sym w:font="Symbol" w:char="F0B7"/>
      </w:r>
      <w:r>
        <w:t xml:space="preserve"> Sprawdziany </w:t>
      </w:r>
      <w:r>
        <w:sym w:font="Symbol" w:char="F0B7"/>
      </w:r>
      <w:r>
        <w:t xml:space="preserve"> Kartkówki </w:t>
      </w:r>
      <w:r>
        <w:sym w:font="Symbol" w:char="F0B7"/>
      </w:r>
      <w:r>
        <w:t xml:space="preserve"> Zadania obliczeniowe </w:t>
      </w:r>
      <w:r>
        <w:sym w:font="Symbol" w:char="F0B7"/>
      </w:r>
      <w:r>
        <w:t xml:space="preserve"> Projekty Nadobowiązkowe: </w:t>
      </w:r>
      <w:r>
        <w:sym w:font="Symbol" w:char="F0B7"/>
      </w:r>
      <w:r>
        <w:t xml:space="preserve"> Zadania dodatkowe np. wykonanie prezentacji, referaty itp.</w:t>
      </w:r>
    </w:p>
    <w:p w:rsidR="00E31F84" w:rsidRDefault="00E31F84" w:rsidP="00E31F84">
      <w:pPr>
        <w:pStyle w:val="Akapitzlist"/>
      </w:pPr>
    </w:p>
    <w:p w:rsidR="00E31F84" w:rsidRPr="00E31F84" w:rsidRDefault="00E31F84" w:rsidP="00E31F8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E31F84">
        <w:rPr>
          <w:b/>
        </w:rPr>
        <w:t>OCENIANIE.</w:t>
      </w:r>
    </w:p>
    <w:p w:rsidR="00E31F84" w:rsidRDefault="00E31F84" w:rsidP="00E31F84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31F84" w:rsidTr="00A619CC">
        <w:tc>
          <w:tcPr>
            <w:tcW w:w="6997" w:type="dxa"/>
          </w:tcPr>
          <w:p w:rsidR="00E31F84" w:rsidRPr="00F039B7" w:rsidRDefault="00E31F84" w:rsidP="00A619CC">
            <w:pPr>
              <w:pStyle w:val="Akapitzlist"/>
              <w:rPr>
                <w:u w:val="single"/>
              </w:rPr>
            </w:pPr>
            <w:r w:rsidRPr="00F039B7">
              <w:rPr>
                <w:u w:val="single"/>
              </w:rPr>
              <w:t>Stopień opanowania wiedzy na poszczególne oceny</w:t>
            </w:r>
            <w:r>
              <w:rPr>
                <w:u w:val="single"/>
              </w:rPr>
              <w:t xml:space="preserve"> (sprawdziany, kartkówki, odpowiedzi)</w:t>
            </w:r>
            <w:r w:rsidRPr="00F039B7">
              <w:rPr>
                <w:u w:val="single"/>
              </w:rPr>
              <w:t>:</w:t>
            </w:r>
          </w:p>
          <w:p w:rsidR="00E31F84" w:rsidRDefault="00E31F84" w:rsidP="00A619CC"/>
        </w:tc>
        <w:tc>
          <w:tcPr>
            <w:tcW w:w="6997" w:type="dxa"/>
          </w:tcPr>
          <w:p w:rsidR="00E31F84" w:rsidRDefault="00E31F84" w:rsidP="00A619CC">
            <w:r>
              <w:t xml:space="preserve">Oceny semestralne i </w:t>
            </w:r>
            <w:proofErr w:type="spellStart"/>
            <w:r>
              <w:t>końcoworoczne</w:t>
            </w:r>
            <w:proofErr w:type="spellEnd"/>
          </w:p>
          <w:p w:rsidR="00E31F84" w:rsidRDefault="00E31F84" w:rsidP="00A619CC">
            <w:r>
              <w:t xml:space="preserve">(szczegółowe informacje znajdują się w </w:t>
            </w:r>
            <w:proofErr w:type="spellStart"/>
            <w:r>
              <w:t>wso</w:t>
            </w:r>
            <w:proofErr w:type="spellEnd"/>
            <w:r>
              <w:t>)</w:t>
            </w:r>
          </w:p>
        </w:tc>
      </w:tr>
      <w:tr w:rsidR="00E31F84" w:rsidTr="00A619CC">
        <w:tc>
          <w:tcPr>
            <w:tcW w:w="6997" w:type="dxa"/>
          </w:tcPr>
          <w:p w:rsidR="00E31F84" w:rsidRDefault="00E31F84" w:rsidP="00A619CC">
            <w:pPr>
              <w:pStyle w:val="Akapitzlist"/>
              <w:ind w:left="1080"/>
            </w:pPr>
            <w:r>
              <w:t xml:space="preserve">Niedostateczny: 0 – 40% </w:t>
            </w:r>
          </w:p>
          <w:p w:rsidR="00E31F84" w:rsidRDefault="00E31F84" w:rsidP="00A619CC">
            <w:pPr>
              <w:pStyle w:val="Akapitzlist"/>
              <w:ind w:left="1080"/>
            </w:pPr>
            <w:r>
              <w:t>Dopuszczający: 41- 55%</w:t>
            </w:r>
          </w:p>
          <w:p w:rsidR="00E31F84" w:rsidRDefault="00E31F84" w:rsidP="00A619CC">
            <w:pPr>
              <w:pStyle w:val="Akapitzlist"/>
              <w:ind w:left="1080"/>
            </w:pPr>
            <w:r>
              <w:t>Dostateczny:  56 – 70%</w:t>
            </w:r>
          </w:p>
          <w:p w:rsidR="00E31F84" w:rsidRDefault="00E31F84" w:rsidP="00A619CC">
            <w:pPr>
              <w:pStyle w:val="Akapitzlist"/>
              <w:ind w:left="1080"/>
            </w:pPr>
            <w:r>
              <w:t xml:space="preserve">Dobry: 71 – 85% </w:t>
            </w:r>
          </w:p>
          <w:p w:rsidR="00E31F84" w:rsidRDefault="00E31F84" w:rsidP="00A619CC">
            <w:pPr>
              <w:pStyle w:val="Akapitzlist"/>
              <w:ind w:left="1080"/>
            </w:pPr>
            <w:r>
              <w:t>Bardzo dobry: 86 -99%</w:t>
            </w:r>
          </w:p>
          <w:p w:rsidR="00E31F84" w:rsidRDefault="00E31F84" w:rsidP="00A619CC">
            <w:pPr>
              <w:pStyle w:val="Akapitzlist"/>
              <w:ind w:left="1080"/>
            </w:pPr>
            <w:r>
              <w:t>Celujący: 100%</w:t>
            </w:r>
          </w:p>
          <w:p w:rsidR="00E31F84" w:rsidRDefault="00E31F84" w:rsidP="00A619CC"/>
        </w:tc>
        <w:tc>
          <w:tcPr>
            <w:tcW w:w="6997" w:type="dxa"/>
          </w:tcPr>
          <w:p w:rsidR="00E31F84" w:rsidRDefault="00E31F84" w:rsidP="00A619CC">
            <w:proofErr w:type="spellStart"/>
            <w:r>
              <w:t>Ndst</w:t>
            </w:r>
            <w:proofErr w:type="spellEnd"/>
            <w:r>
              <w:t xml:space="preserve"> – średnia 0-1,69</w:t>
            </w:r>
          </w:p>
          <w:p w:rsidR="00E31F84" w:rsidRDefault="00E31F84" w:rsidP="00A619CC">
            <w:r>
              <w:t>Dopuszczający – 1,7 -2,49</w:t>
            </w:r>
          </w:p>
          <w:p w:rsidR="00E31F84" w:rsidRDefault="00E31F84" w:rsidP="00A619CC">
            <w:r>
              <w:t>Dostateczny – 2,5 – 3,49</w:t>
            </w:r>
          </w:p>
          <w:p w:rsidR="00E31F84" w:rsidRDefault="00E31F84" w:rsidP="00A619CC">
            <w:r>
              <w:t>Dobry – 3,5 – 4,49</w:t>
            </w:r>
          </w:p>
          <w:p w:rsidR="00E31F84" w:rsidRDefault="00E31F84" w:rsidP="00A619CC">
            <w:r>
              <w:t>Bardzo dobry – 4,5 – 5,49</w:t>
            </w:r>
          </w:p>
          <w:p w:rsidR="00E31F84" w:rsidRDefault="00E31F84" w:rsidP="00A619CC">
            <w:r>
              <w:t xml:space="preserve">Celujący- 5,5 </w:t>
            </w:r>
          </w:p>
        </w:tc>
      </w:tr>
    </w:tbl>
    <w:p w:rsidR="00E31F84" w:rsidRDefault="00E31F84"/>
    <w:p w:rsidR="00E31F84" w:rsidRDefault="00E31F84" w:rsidP="00E31F84">
      <w:pPr>
        <w:autoSpaceDE w:val="0"/>
        <w:autoSpaceDN w:val="0"/>
        <w:adjustRightInd w:val="0"/>
        <w:rPr>
          <w:rFonts w:ascii="Calibri" w:hAnsi="Calibri"/>
        </w:rPr>
      </w:pPr>
      <w:r w:rsidRPr="00E31F84">
        <w:rPr>
          <w:b/>
        </w:rPr>
        <w:t xml:space="preserve">V. </w:t>
      </w:r>
      <w:r w:rsidRPr="00E31F84">
        <w:rPr>
          <w:rFonts w:ascii="Calibri" w:hAnsi="Calibri"/>
          <w:b/>
          <w:bCs/>
        </w:rPr>
        <w:t>Formy indywidualizacji pracy uczniów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uwzględniające:</w:t>
      </w:r>
    </w:p>
    <w:p w:rsidR="00E31F84" w:rsidRDefault="00E31F84" w:rsidP="00E31F8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– dostosowanie warunków, środków, metod i form kształcenia do potrzeb ucznia,</w:t>
      </w:r>
    </w:p>
    <w:p w:rsidR="00515183" w:rsidRDefault="00E31F84" w:rsidP="00E31F84">
      <w:r>
        <w:rPr>
          <w:rFonts w:ascii="Calibri" w:hAnsi="Calibri"/>
        </w:rPr>
        <w:t>– dostosowanie warunków, środków, metod i form kształcenia do możliwości ucznia</w:t>
      </w:r>
    </w:p>
    <w:sectPr w:rsidR="00515183" w:rsidSect="00547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CB2"/>
    <w:multiLevelType w:val="hybridMultilevel"/>
    <w:tmpl w:val="9492378E"/>
    <w:lvl w:ilvl="0" w:tplc="D8EC755E">
      <w:start w:val="1"/>
      <w:numFmt w:val="bullet"/>
      <w:pStyle w:val="tabelapunktowanieok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2E609292">
      <w:start w:val="1"/>
      <w:numFmt w:val="none"/>
      <w:lvlText w:val="5.1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 w:tplc="0CA45696">
      <w:start w:val="1"/>
      <w:numFmt w:val="none"/>
      <w:lvlText w:val="4.1."/>
      <w:lvlJc w:val="left"/>
      <w:pPr>
        <w:tabs>
          <w:tab w:val="num" w:pos="1800"/>
        </w:tabs>
        <w:ind w:left="2157" w:hanging="35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CE2"/>
    <w:multiLevelType w:val="hybridMultilevel"/>
    <w:tmpl w:val="2C10B2A4"/>
    <w:lvl w:ilvl="0" w:tplc="1BA4B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0E1B2A"/>
    <w:multiLevelType w:val="hybridMultilevel"/>
    <w:tmpl w:val="DD28DD38"/>
    <w:lvl w:ilvl="0" w:tplc="17C67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63"/>
    <w:rsid w:val="00064EA0"/>
    <w:rsid w:val="00244E28"/>
    <w:rsid w:val="00396AED"/>
    <w:rsid w:val="004F63AA"/>
    <w:rsid w:val="00515183"/>
    <w:rsid w:val="00547863"/>
    <w:rsid w:val="00714523"/>
    <w:rsid w:val="00733136"/>
    <w:rsid w:val="00950261"/>
    <w:rsid w:val="009C1FFB"/>
    <w:rsid w:val="009E6AE7"/>
    <w:rsid w:val="00A533F8"/>
    <w:rsid w:val="00AD635A"/>
    <w:rsid w:val="00B91B84"/>
    <w:rsid w:val="00C31D93"/>
    <w:rsid w:val="00C6748F"/>
    <w:rsid w:val="00D270D3"/>
    <w:rsid w:val="00E16A94"/>
    <w:rsid w:val="00E31F84"/>
    <w:rsid w:val="00E7420E"/>
    <w:rsid w:val="00EA0841"/>
    <w:rsid w:val="00EF127C"/>
    <w:rsid w:val="00FB029F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8AD8"/>
  <w15:chartTrackingRefBased/>
  <w15:docId w15:val="{33EBEA19-8ED3-4007-9FD3-4FCB0A5E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lewa">
    <w:name w:val="tabela lewa"/>
    <w:basedOn w:val="Akapitzlist"/>
    <w:link w:val="tabelalewaZnak"/>
    <w:qFormat/>
    <w:rsid w:val="00547863"/>
    <w:pPr>
      <w:spacing w:after="0" w:line="240" w:lineRule="auto"/>
      <w:ind w:left="0"/>
      <w:contextualSpacing w:val="0"/>
    </w:pPr>
    <w:rPr>
      <w:rFonts w:ascii="Calibri" w:eastAsia="Calibri" w:hAnsi="Calibri" w:cs="Calibri"/>
      <w:bCs/>
      <w:sz w:val="18"/>
      <w:szCs w:val="18"/>
      <w:lang w:val="x-none" w:eastAsia="pl-PL"/>
    </w:rPr>
  </w:style>
  <w:style w:type="character" w:customStyle="1" w:styleId="tabelalewaZnak">
    <w:name w:val="tabela lewa Znak"/>
    <w:link w:val="tabelalewa"/>
    <w:rsid w:val="00547863"/>
    <w:rPr>
      <w:rFonts w:ascii="Calibri" w:eastAsia="Calibri" w:hAnsi="Calibri" w:cs="Calibri"/>
      <w:bCs/>
      <w:sz w:val="18"/>
      <w:szCs w:val="18"/>
      <w:lang w:val="x-none" w:eastAsia="pl-PL"/>
    </w:rPr>
  </w:style>
  <w:style w:type="paragraph" w:customStyle="1" w:styleId="tabelapunktowanieok">
    <w:name w:val="tabela punktowanie ok"/>
    <w:basedOn w:val="tabelalewa"/>
    <w:rsid w:val="00547863"/>
    <w:pPr>
      <w:numPr>
        <w:numId w:val="1"/>
      </w:numPr>
      <w:tabs>
        <w:tab w:val="clear" w:pos="0"/>
        <w:tab w:val="num" w:pos="360"/>
      </w:tabs>
      <w:ind w:left="0" w:firstLine="0"/>
    </w:pPr>
  </w:style>
  <w:style w:type="paragraph" w:styleId="Akapitzlist">
    <w:name w:val="List Paragraph"/>
    <w:basedOn w:val="Normalny"/>
    <w:link w:val="AkapitzlistZnak"/>
    <w:qFormat/>
    <w:rsid w:val="0054786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31F84"/>
  </w:style>
  <w:style w:type="table" w:styleId="Tabela-Siatka">
    <w:name w:val="Table Grid"/>
    <w:basedOn w:val="Standardowy"/>
    <w:uiPriority w:val="39"/>
    <w:rsid w:val="00E3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2018-09-20T18:16:00Z</dcterms:created>
  <dcterms:modified xsi:type="dcterms:W3CDTF">2018-09-20T22:06:00Z</dcterms:modified>
</cp:coreProperties>
</file>