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2A" w:rsidRPr="005E0AAB" w:rsidRDefault="004B522A">
      <w:pPr>
        <w:rPr>
          <w:sz w:val="36"/>
          <w:szCs w:val="36"/>
          <w:u w:val="single"/>
        </w:rPr>
      </w:pPr>
      <w:r w:rsidRPr="005E0AAB">
        <w:rPr>
          <w:sz w:val="36"/>
          <w:szCs w:val="36"/>
          <w:u w:val="single"/>
        </w:rPr>
        <w:t xml:space="preserve">Podróżni w portach i terminalach </w:t>
      </w:r>
    </w:p>
    <w:p w:rsidR="004B522A" w:rsidRPr="00F47AF0" w:rsidRDefault="004B522A">
      <w:pPr>
        <w:rPr>
          <w:b/>
        </w:rPr>
      </w:pPr>
      <w:r w:rsidRPr="00F47AF0">
        <w:rPr>
          <w:b/>
        </w:rPr>
        <w:t xml:space="preserve">Wymagania edukacyjne i </w:t>
      </w:r>
      <w:r w:rsidR="00F47AF0" w:rsidRPr="00F47AF0">
        <w:rPr>
          <w:b/>
        </w:rPr>
        <w:t>zakres materiału nauczania</w:t>
      </w:r>
    </w:p>
    <w:p w:rsidR="004B522A" w:rsidRDefault="004B522A">
      <w:pPr>
        <w:rPr>
          <w:b/>
        </w:rPr>
      </w:pPr>
      <w:r w:rsidRPr="00F47AF0">
        <w:rPr>
          <w:b/>
        </w:rPr>
        <w:t>Technik eksploatacji portów i terminali</w:t>
      </w:r>
      <w:r w:rsidR="00F47AF0">
        <w:rPr>
          <w:b/>
        </w:rPr>
        <w:t>, liczba</w:t>
      </w:r>
      <w:r w:rsidR="00E51094">
        <w:rPr>
          <w:b/>
        </w:rPr>
        <w:t xml:space="preserve"> godzin w cyklu kształcenia – 12</w:t>
      </w:r>
      <w:r w:rsidR="00F47AF0">
        <w:rPr>
          <w:b/>
        </w:rPr>
        <w:t>0</w:t>
      </w:r>
    </w:p>
    <w:p w:rsidR="00F47AF0" w:rsidRDefault="00F47AF0">
      <w:pPr>
        <w:rPr>
          <w:b/>
        </w:rPr>
      </w:pPr>
      <w:r>
        <w:rPr>
          <w:b/>
        </w:rPr>
        <w:t>Klasa 1– 90 godzin rocznie</w:t>
      </w:r>
      <w:r w:rsidR="005E0AAB">
        <w:rPr>
          <w:b/>
        </w:rPr>
        <w:t xml:space="preserve">– 3 </w:t>
      </w:r>
      <w:proofErr w:type="spellStart"/>
      <w:r w:rsidR="005E0AAB">
        <w:rPr>
          <w:b/>
        </w:rPr>
        <w:t>godz</w:t>
      </w:r>
      <w:proofErr w:type="spellEnd"/>
      <w:r w:rsidR="005E0AAB">
        <w:rPr>
          <w:b/>
        </w:rPr>
        <w:t>/tyg.</w:t>
      </w:r>
    </w:p>
    <w:p w:rsidR="00F47AF0" w:rsidRDefault="00F47AF0">
      <w:pPr>
        <w:rPr>
          <w:b/>
        </w:rPr>
      </w:pPr>
      <w:r>
        <w:rPr>
          <w:b/>
        </w:rPr>
        <w:t>Klasa 2– 30 godzin rocznie</w:t>
      </w:r>
      <w:r w:rsidR="005E0AAB">
        <w:rPr>
          <w:b/>
        </w:rPr>
        <w:t xml:space="preserve">– 1 </w:t>
      </w:r>
      <w:proofErr w:type="spellStart"/>
      <w:r w:rsidR="005E0AAB">
        <w:rPr>
          <w:b/>
        </w:rPr>
        <w:t>godz</w:t>
      </w:r>
      <w:proofErr w:type="spellEnd"/>
      <w:r w:rsidR="005E0AAB">
        <w:rPr>
          <w:b/>
        </w:rPr>
        <w:t>/tyg.</w:t>
      </w:r>
    </w:p>
    <w:p w:rsidR="00F47AF0" w:rsidRPr="00F47AF0" w:rsidRDefault="00F47AF0">
      <w:pPr>
        <w:rPr>
          <w:b/>
        </w:rPr>
      </w:pPr>
    </w:p>
    <w:tbl>
      <w:tblPr>
        <w:tblW w:w="4920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648"/>
        <w:gridCol w:w="1616"/>
        <w:gridCol w:w="4255"/>
      </w:tblGrid>
      <w:tr w:rsidR="0021534C" w:rsidRPr="00B0799A" w:rsidTr="00A16730">
        <w:trPr>
          <w:trHeight w:val="284"/>
          <w:tblHeader/>
        </w:trPr>
        <w:tc>
          <w:tcPr>
            <w:tcW w:w="1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1.1. Elementy marketingu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</w:t>
            </w:r>
          </w:p>
        </w:tc>
      </w:tr>
      <w:tr w:rsidR="0021534C" w:rsidRPr="00B0799A" w:rsidTr="00A16730">
        <w:trPr>
          <w:trHeight w:val="851"/>
        </w:trPr>
        <w:tc>
          <w:tcPr>
            <w:tcW w:w="6241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bCs/>
                <w:kern w:val="32"/>
                <w:szCs w:val="32"/>
                <w:lang w:val="pl-PL"/>
              </w:rPr>
            </w:pPr>
            <w:r w:rsidRPr="007E61AC">
              <w:rPr>
                <w:rFonts w:cs="Calibri"/>
                <w:lang w:val="pl-PL"/>
              </w:rPr>
              <w:t>Uszczegółowione efekty kształcenia</w:t>
            </w:r>
          </w:p>
          <w:p w:rsidR="0021534C" w:rsidRPr="007E61AC" w:rsidRDefault="0021534C" w:rsidP="007E0BA5">
            <w:pPr>
              <w:pStyle w:val="tabelagwka"/>
              <w:rPr>
                <w:rFonts w:cs="Calibri"/>
                <w:bCs/>
                <w:kern w:val="32"/>
                <w:szCs w:val="32"/>
                <w:lang w:val="pl-PL"/>
              </w:rPr>
            </w:pPr>
            <w:r w:rsidRPr="007E61AC">
              <w:rPr>
                <w:rFonts w:cs="Calibri"/>
                <w:lang w:val="pl-PL"/>
              </w:rPr>
              <w:t>Uczeń po zrealizowaniu zajęć potrafi: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bCs/>
                <w:kern w:val="32"/>
                <w:szCs w:val="32"/>
                <w:lang w:val="pl-PL"/>
              </w:rPr>
            </w:pPr>
            <w:r w:rsidRPr="007E61AC">
              <w:rPr>
                <w:rFonts w:cs="Calibri"/>
                <w:lang w:val="pl-PL"/>
              </w:rPr>
              <w:t>Poziom wymagań programowych</w:t>
            </w:r>
          </w:p>
        </w:tc>
        <w:tc>
          <w:tcPr>
            <w:tcW w:w="1616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A16730" w:rsidP="00A16730">
            <w:pPr>
              <w:pStyle w:val="tabelagwka"/>
              <w:jc w:val="left"/>
              <w:rPr>
                <w:rFonts w:cs="Calibri"/>
                <w:bCs/>
                <w:kern w:val="32"/>
                <w:szCs w:val="32"/>
                <w:lang w:val="pl-PL"/>
              </w:rPr>
            </w:pPr>
            <w:r>
              <w:rPr>
                <w:rFonts w:cs="Calibri"/>
                <w:lang w:val="pl-PL"/>
              </w:rPr>
              <w:t>Liczba godzin</w:t>
            </w:r>
          </w:p>
        </w:tc>
        <w:tc>
          <w:tcPr>
            <w:tcW w:w="425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bCs/>
                <w:kern w:val="32"/>
                <w:szCs w:val="32"/>
                <w:lang w:val="pl-PL"/>
              </w:rPr>
            </w:pPr>
            <w:r w:rsidRPr="007E61AC">
              <w:rPr>
                <w:rFonts w:cs="Calibri"/>
                <w:lang w:val="pl-PL"/>
              </w:rPr>
              <w:t>Materiał nauczania</w:t>
            </w: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  <w:b/>
                <w:kern w:val="32"/>
              </w:rPr>
            </w:pPr>
            <w:r w:rsidRPr="007E61AC">
              <w:rPr>
                <w:rFonts w:eastAsia="Times New Roman"/>
              </w:rPr>
              <w:t>PDG(2)1 analizować przepisy prawa pracy, przepisy o ochronie danych osobowych, przepisy prawa podatkowego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prawa autorskiego;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  <w:rPr>
                <w:kern w:val="32"/>
              </w:rPr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A16730" w:rsidRDefault="00A16730" w:rsidP="00A16730">
            <w:pPr>
              <w:pStyle w:val="tabela"/>
              <w:rPr>
                <w:kern w:val="32"/>
              </w:rPr>
            </w:pPr>
            <w:r>
              <w:t>20</w:t>
            </w:r>
          </w:p>
        </w:tc>
        <w:tc>
          <w:tcPr>
            <w:tcW w:w="4255" w:type="dxa"/>
            <w:vMerge w:val="restart"/>
          </w:tcPr>
          <w:p w:rsidR="00A16730" w:rsidRPr="007E61AC" w:rsidRDefault="00A16730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  <w:b/>
                <w:kern w:val="32"/>
              </w:rPr>
            </w:pPr>
            <w:r w:rsidRPr="007E61AC">
              <w:rPr>
                <w:rFonts w:eastAsia="Times New Roman"/>
              </w:rPr>
              <w:t>Przepisy prawa pracy dotyczące ochrony danych osobowych.</w:t>
            </w:r>
          </w:p>
          <w:p w:rsidR="00A16730" w:rsidRPr="007E61AC" w:rsidRDefault="00A16730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Przepisy prawa podatkowego.</w:t>
            </w:r>
          </w:p>
          <w:p w:rsidR="00A16730" w:rsidRPr="00801D10" w:rsidRDefault="00A16730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Prawo autorskie.</w:t>
            </w:r>
          </w:p>
          <w:p w:rsidR="00801D10" w:rsidRPr="00801D10" w:rsidRDefault="00801D10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>
              <w:rPr>
                <w:rFonts w:eastAsia="Times New Roman"/>
                <w:lang w:val="pl-PL"/>
              </w:rPr>
              <w:t>Cechy pracownika obsługi podróżnych.</w:t>
            </w:r>
          </w:p>
          <w:p w:rsidR="00801D10" w:rsidRPr="00A16730" w:rsidRDefault="00336117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>
              <w:rPr>
                <w:rFonts w:eastAsia="Times New Roman"/>
                <w:lang w:val="pl-PL"/>
              </w:rPr>
              <w:t>Wymagania wobec pracowników obsługi stawiane przez pracodawców.</w:t>
            </w:r>
          </w:p>
          <w:p w:rsidR="00A16730" w:rsidRPr="007E61AC" w:rsidRDefault="00A16730" w:rsidP="00336117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PDG(2)2 określić skutki nieprzestrzegania przepisów prawa pracy, przepisów o ochronie danych osobowych oraz przepisów prawa podatkowego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prawa autorskiego;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PDG(10)1 opracować plan marketingowy dla prowadzonej działalności gospodarczej;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A16730" w:rsidRDefault="008C0682" w:rsidP="008C0682">
            <w:pPr>
              <w:pStyle w:val="tabela"/>
            </w:pPr>
            <w:r>
              <w:t>20</w:t>
            </w: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  <w:p w:rsidR="008C0682" w:rsidRDefault="008C0682" w:rsidP="00F47AF0">
            <w:pPr>
              <w:pStyle w:val="tabela"/>
              <w:jc w:val="left"/>
            </w:pPr>
          </w:p>
        </w:tc>
        <w:tc>
          <w:tcPr>
            <w:tcW w:w="4255" w:type="dxa"/>
            <w:vMerge w:val="restart"/>
          </w:tcPr>
          <w:p w:rsidR="00336117" w:rsidRPr="00336117" w:rsidRDefault="00336117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Marketing mix.</w:t>
            </w:r>
          </w:p>
          <w:p w:rsidR="00A16730" w:rsidRPr="007E61AC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Narzędzia marketingowe.</w:t>
            </w:r>
          </w:p>
          <w:p w:rsidR="00A16730" w:rsidRPr="007E61AC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Strategie marketingowe.</w:t>
            </w:r>
          </w:p>
          <w:p w:rsidR="00A16730" w:rsidRPr="00A16730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Elementy promocji.</w:t>
            </w:r>
          </w:p>
          <w:p w:rsidR="00A16730" w:rsidRPr="00A16730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>
              <w:rPr>
                <w:rFonts w:eastAsia="Times New Roman"/>
                <w:lang w:val="pl-PL"/>
              </w:rPr>
              <w:t>Badania marketingowe.</w:t>
            </w:r>
          </w:p>
          <w:p w:rsidR="00A16730" w:rsidRPr="00A16730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>
              <w:rPr>
                <w:rFonts w:eastAsia="Times New Roman"/>
                <w:lang w:val="pl-PL"/>
              </w:rPr>
              <w:t>Analiza SWOT</w:t>
            </w:r>
          </w:p>
          <w:p w:rsidR="00A16730" w:rsidRPr="007E61AC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>
              <w:rPr>
                <w:rFonts w:eastAsia="Times New Roman"/>
                <w:lang w:val="pl-PL"/>
              </w:rPr>
              <w:t>Elementy statystyki.</w:t>
            </w:r>
          </w:p>
          <w:p w:rsidR="00A16730" w:rsidRPr="007E61AC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Zasady kultury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etyki.</w:t>
            </w:r>
          </w:p>
          <w:p w:rsidR="00A16730" w:rsidRPr="007E61AC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b/>
                <w:color w:val="000000"/>
                <w:kern w:val="32"/>
              </w:rPr>
            </w:pPr>
            <w:r w:rsidRPr="007E61AC">
              <w:rPr>
                <w:rFonts w:eastAsia="Times New Roman"/>
              </w:rPr>
              <w:t>Zasady pracy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zespole.</w:t>
            </w:r>
          </w:p>
          <w:p w:rsidR="00A16730" w:rsidRDefault="00A16730" w:rsidP="00A1673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cs="Times New Roman"/>
              </w:rPr>
            </w:pPr>
            <w:r w:rsidRPr="007E61AC">
              <w:rPr>
                <w:rFonts w:eastAsia="Times New Roman"/>
              </w:rPr>
              <w:t>Metody pracy zespołowej.</w:t>
            </w: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PDG(10)2 dobrać instrumenty marketingowe do prowadzonych działań;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PDG(10)3 podejmować współpracę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przedsiębiorstwami funkcjonującymi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 marketingowej;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KPS(1)1 stosować zasady kultury osobistej;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KPS(1)2 stosować zasady etyki zawodowej;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KPS(2)1 zaproponować sposoby rozwiązywania problemów;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KPS(2)2 dążyć wytrwale do celu;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KPS(2)3 zrealizować działania zgodnie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własnymi pomysłami;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KPS(2)4 zainicjować zmiany mające pozytywny wpływ na środowisko pracy;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KPS(3)1 analizować rezultaty działań;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KPS(3)2 uświadomić sobie konsekwencje działań;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KPS(4)1 analizować zmiany zachodzące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KPS(4)2 podejmować nowe wyzwania;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KPS(4)3 wykazać się otwartością na zmiany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stosowanych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technik pracy;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KPS(5)1 przewidywać sytuacje wywołujące stres;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KPS(5)2 stosować sposoby radzenia sobie ze stresem;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KPS(5)3 określić skutki stresu;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KPS(8)1 ocenić ryzyko podejmowanych działań;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KPS(8)2 przyjąć na siebie odpowiedzialność za podejmowane działania;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KPS(8)3 wyciągać wnioski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podejmowanych działań;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OMZ(1)1 </w:t>
            </w:r>
            <w:r>
              <w:rPr>
                <w:rFonts w:eastAsia="Times New Roman"/>
              </w:rPr>
              <w:t>dokonać</w:t>
            </w:r>
            <w:r w:rsidRPr="007E61AC">
              <w:rPr>
                <w:rFonts w:eastAsia="Times New Roman"/>
              </w:rPr>
              <w:t xml:space="preserve"> analizy przydzielonych zadań;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OMZ(1)2 zaplanować pracę zespołu;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OMZ(2)1 </w:t>
            </w:r>
            <w:r>
              <w:rPr>
                <w:rFonts w:eastAsia="Times New Roman"/>
              </w:rPr>
              <w:t>rozpoznać</w:t>
            </w:r>
            <w:r w:rsidRPr="007E61AC">
              <w:rPr>
                <w:rFonts w:eastAsia="Times New Roman"/>
              </w:rPr>
              <w:t xml:space="preserve"> kompetencje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umiejętności osób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zespole;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OMZ(2)2 </w:t>
            </w:r>
            <w:r>
              <w:rPr>
                <w:rFonts w:eastAsia="Times New Roman"/>
              </w:rPr>
              <w:t>rozdzielić</w:t>
            </w:r>
            <w:r w:rsidRPr="007E61AC">
              <w:rPr>
                <w:rFonts w:eastAsia="Times New Roman"/>
              </w:rPr>
              <w:t xml:space="preserve"> zadania według umiejętności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kompetencji członków zespołu;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OMZ(3)1 mobilizować współpracowników do wykonywania zadań;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A16730" w:rsidRPr="00B0799A" w:rsidTr="00A16730">
        <w:trPr>
          <w:trHeight w:val="284"/>
        </w:trPr>
        <w:tc>
          <w:tcPr>
            <w:tcW w:w="6241" w:type="dxa"/>
            <w:vAlign w:val="center"/>
          </w:tcPr>
          <w:p w:rsidR="00A16730" w:rsidRPr="007E61AC" w:rsidRDefault="00A16730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OMZ(3)2 </w:t>
            </w:r>
            <w:r>
              <w:rPr>
                <w:rFonts w:eastAsia="Times New Roman"/>
              </w:rPr>
              <w:t>wydać</w:t>
            </w:r>
            <w:r w:rsidRPr="007E61AC">
              <w:rPr>
                <w:rFonts w:eastAsia="Times New Roman"/>
              </w:rPr>
              <w:t xml:space="preserve"> dyspozycje osobom realizującym poszczególne zadania.</w:t>
            </w:r>
          </w:p>
        </w:tc>
        <w:tc>
          <w:tcPr>
            <w:tcW w:w="1648" w:type="dxa"/>
            <w:vAlign w:val="center"/>
          </w:tcPr>
          <w:p w:rsidR="00A16730" w:rsidRDefault="00A1673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A16730" w:rsidRDefault="00A1673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A16730" w:rsidRDefault="00A1673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21534C" w:rsidRPr="00B0799A" w:rsidTr="00A16730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AA23CB">
              <w:t>Planowane zadania</w:t>
            </w:r>
          </w:p>
          <w:p w:rsidR="0021534C" w:rsidRDefault="0021534C" w:rsidP="007E0BA5">
            <w:pPr>
              <w:pStyle w:val="calibri9pogrubionyprzed3"/>
            </w:pPr>
            <w:r w:rsidRPr="006A2E82">
              <w:rPr>
                <w:bCs/>
              </w:rPr>
              <w:t>P</w:t>
            </w:r>
            <w:r w:rsidRPr="006A2E82">
              <w:t>rzygotowanie planu promocji usług oferowanych</w:t>
            </w:r>
            <w:r>
              <w:t xml:space="preserve"> w </w:t>
            </w:r>
            <w:r w:rsidRPr="006A2E82">
              <w:t>portach</w:t>
            </w:r>
            <w:r>
              <w:t xml:space="preserve"> i </w:t>
            </w:r>
            <w:r w:rsidRPr="006A2E82">
              <w:t>terminalach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Opracowany przez Ciebie plan powinien uwzględnić następujące czynniki: określenie odbiorców przekazu promocyjnego, wyznaczenie celów promocji, wybór kanałów promocji. Zadanie wykonujesz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grupie 5-osobowej, korzystając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pracowni: formularzy ankiet do badań marketingowych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materiałów reklamowych. Do dyspozycji masz stanowisko komputerowe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Internetu. Sporządzony plan będziesz prezentować na forum grupy (15 minut) oraz przekażesz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wersji elektronicznej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drukowanej do oceny.</w:t>
            </w:r>
          </w:p>
        </w:tc>
      </w:tr>
      <w:tr w:rsidR="0021534C" w:rsidRPr="00B0799A" w:rsidTr="00A16730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AA23CB">
              <w:t>Warunki osiągania efektów kształcenia</w:t>
            </w:r>
            <w:r>
              <w:t xml:space="preserve"> w </w:t>
            </w:r>
            <w:r w:rsidRPr="00AA23CB">
              <w:t>tym środki dydaktyczne, metody, formy organizacyjne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Pracownia obsługi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wyposażona w: stanowiska komputerowe podłączone do sieci lokalnej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edytorem tekstu, arkuszem kalkulacyjnym, programem do tworzenia prezentacji oraz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oprogramowaniem wspomagającym obsługę podróżnych (jedno stanowisko dla trzech uczniów), filmy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materiały dydaktyczne przedstawiające pracę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terminali, obsługę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obsługę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 podczas sytuacji kryzysowych, urządzenia komunikacji przewodowej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bezprzewodowej (telefon, faks, zestaw krótkofalówek, komunikatory typu </w:t>
            </w:r>
            <w:proofErr w:type="spellStart"/>
            <w:r w:rsidRPr="007E61AC">
              <w:rPr>
                <w:rFonts w:eastAsia="Times New Roman"/>
              </w:rPr>
              <w:t>hands</w:t>
            </w:r>
            <w:proofErr w:type="spellEnd"/>
            <w:r w:rsidRPr="007E61AC">
              <w:rPr>
                <w:rFonts w:eastAsia="Times New Roman"/>
              </w:rPr>
              <w:t xml:space="preserve"> </w:t>
            </w:r>
            <w:proofErr w:type="spellStart"/>
            <w:r w:rsidRPr="007E61AC">
              <w:rPr>
                <w:rFonts w:eastAsia="Times New Roman"/>
              </w:rPr>
              <w:t>free</w:t>
            </w:r>
            <w:proofErr w:type="spellEnd"/>
            <w:r w:rsidRPr="007E61AC">
              <w:rPr>
                <w:rFonts w:eastAsia="Times New Roman"/>
              </w:rPr>
              <w:t>), zestaw przepisów dotyczących obsługi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zestaw do udzielania pierwszej pomocy wraz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dokumentacją udzielania pomocy poszkodowanym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postępowania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sytuacjach zagrożenia zdrowia lub życia podróżnych.</w:t>
            </w:r>
            <w:r w:rsidRPr="007E61AC" w:rsidDel="00BC5277">
              <w:rPr>
                <w:rFonts w:eastAsia="Times New Roman"/>
              </w:rPr>
              <w:t xml:space="preserve"> </w:t>
            </w:r>
          </w:p>
          <w:p w:rsidR="0021534C" w:rsidRDefault="0021534C" w:rsidP="007E0BA5">
            <w:pPr>
              <w:pStyle w:val="calibri9pogrubionyprzed3"/>
            </w:pPr>
            <w:r w:rsidRPr="00AA23CB">
              <w:t>Środki dydaktyczne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Środki techniczne: filmy dydaktyczne dotyczące metod negocjacji, formularze ankiet do badań marketingowych, materiały reklamowe, prezentacje multimedialne dotyczące marketingu, zestawy ćwiczeń, instrukcje do ćwiczeń, karty pracy uczniów, wzory pism, dokumentów, formularzy. </w:t>
            </w:r>
          </w:p>
          <w:p w:rsidR="0021534C" w:rsidRDefault="0021534C" w:rsidP="007E0BA5">
            <w:pPr>
              <w:pStyle w:val="calibri9pogrubionyprzed3"/>
            </w:pPr>
            <w:r w:rsidRPr="006A2E82">
              <w:t>Zalecane metody dydaktyczne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Dominującą metodą powinny być ćwiczenia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metoda projektów. Uczniowie powinni otrzymywać zróżnicowane pomoce dydaktyczne do ćwiczenia umiejętności sporządzenia planu promocji usług oferowanych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 Ćwiczenia powinny być poprzedzane pokazem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objaśnieniem.</w:t>
            </w:r>
          </w:p>
          <w:p w:rsidR="0021534C" w:rsidRDefault="0021534C" w:rsidP="007E0BA5">
            <w:pPr>
              <w:pStyle w:val="calibri9pogrubionyprzed3"/>
            </w:pPr>
            <w:r w:rsidRPr="00AA23CB">
              <w:t>Formy organizacyjne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Zajęcia powinny być prowadzone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grupach do 30 osób. Dominująca forma organizacyjna pracy uczniów: indywidualnie lub praca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grupie.</w:t>
            </w:r>
          </w:p>
        </w:tc>
      </w:tr>
      <w:tr w:rsidR="0021534C" w:rsidRPr="00B0799A" w:rsidTr="00A16730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AA23CB">
              <w:lastRenderedPageBreak/>
              <w:t>Propozycje kryteriów oceny</w:t>
            </w:r>
            <w:r>
              <w:t xml:space="preserve"> i </w:t>
            </w:r>
            <w:r w:rsidRPr="00AA23CB">
              <w:t xml:space="preserve">metod sprawdzania efektów kształcenia 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AA23CB">
              <w:rPr>
                <w:lang w:eastAsia="en-US"/>
              </w:rPr>
              <w:t xml:space="preserve">Sprawdzanie efektów kształcenia powinno być przeprowadzone na podstawie prezentacji oraz sporządzonego planu promocji usług </w:t>
            </w:r>
            <w:r w:rsidRPr="007E61AC">
              <w:rPr>
                <w:rFonts w:eastAsia="Times New Roman"/>
              </w:rPr>
              <w:t>oferowanych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</w:t>
            </w:r>
            <w:r w:rsidRPr="00AA23CB">
              <w:rPr>
                <w:lang w:eastAsia="en-US"/>
              </w:rPr>
              <w:t>. W</w:t>
            </w:r>
            <w:r>
              <w:rPr>
                <w:lang w:val="pl-PL" w:eastAsia="en-US"/>
              </w:rPr>
              <w:t> </w:t>
            </w:r>
            <w:r w:rsidRPr="00AA23CB">
              <w:rPr>
                <w:lang w:eastAsia="en-US"/>
              </w:rPr>
              <w:t>ocenie należy uwzględnić następujące kryteria ogólne: zawartość merytoryczna (strukturę planu, dobranie odpowiednich środków do realizacji usługi), sposób prezentacji (układ, czytelność, czas), wydruk dokumentacji (układ, bezbłędny edycyjnie).</w:t>
            </w:r>
          </w:p>
        </w:tc>
      </w:tr>
      <w:tr w:rsidR="0021534C" w:rsidRPr="00B0799A" w:rsidTr="00A16730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FA1219">
              <w:t xml:space="preserve">Formy indywidualizacji pracy uczniów uwzględniające: </w:t>
            </w:r>
          </w:p>
          <w:p w:rsidR="0021534C" w:rsidRPr="007E61AC" w:rsidRDefault="0021534C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potrzeb ucznia,</w:t>
            </w:r>
          </w:p>
          <w:p w:rsidR="0021534C" w:rsidRPr="007E61AC" w:rsidRDefault="0021534C" w:rsidP="0021534C">
            <w:pPr>
              <w:pStyle w:val="tabelapunktowanieok"/>
              <w:tabs>
                <w:tab w:val="clear" w:pos="360"/>
                <w:tab w:val="num" w:pos="0"/>
              </w:tabs>
              <w:spacing w:after="60"/>
              <w:ind w:left="357" w:hanging="357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możliwości ucznia.</w:t>
            </w:r>
          </w:p>
        </w:tc>
      </w:tr>
    </w:tbl>
    <w:p w:rsidR="0021534C" w:rsidRPr="00B0799A" w:rsidRDefault="0021534C" w:rsidP="0021534C">
      <w:pPr>
        <w:rPr>
          <w:rFonts w:ascii="Calibri" w:hAnsi="Calibri"/>
          <w:sz w:val="20"/>
        </w:rPr>
      </w:pPr>
    </w:p>
    <w:tbl>
      <w:tblPr>
        <w:tblW w:w="4920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648"/>
        <w:gridCol w:w="1616"/>
        <w:gridCol w:w="4255"/>
      </w:tblGrid>
      <w:tr w:rsidR="0021534C" w:rsidRPr="00B0799A" w:rsidTr="00B82923">
        <w:trPr>
          <w:trHeight w:val="284"/>
          <w:tblHeader/>
        </w:trPr>
        <w:tc>
          <w:tcPr>
            <w:tcW w:w="1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lewa"/>
              <w:rPr>
                <w:rFonts w:eastAsia="Times New Roman" w:cs="Arial"/>
              </w:rPr>
            </w:pPr>
            <w:bookmarkStart w:id="0" w:name="_Toc327034596"/>
            <w:r w:rsidRPr="000D1B4D">
              <w:rPr>
                <w:rFonts w:eastAsia="Times New Roman"/>
              </w:rPr>
              <w:t>1</w:t>
            </w:r>
            <w:r w:rsidRPr="007E61AC">
              <w:rPr>
                <w:rFonts w:eastAsia="Times New Roman"/>
              </w:rPr>
              <w:t>.2. Oferty usług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</w:t>
            </w:r>
            <w:bookmarkEnd w:id="0"/>
          </w:p>
        </w:tc>
      </w:tr>
      <w:tr w:rsidR="0021534C" w:rsidRPr="00B0799A" w:rsidTr="00B82923">
        <w:trPr>
          <w:trHeight w:val="851"/>
        </w:trPr>
        <w:tc>
          <w:tcPr>
            <w:tcW w:w="6241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Uszczegółowione efekty kształcenia</w:t>
            </w:r>
          </w:p>
          <w:p w:rsidR="0021534C" w:rsidRPr="007E61AC" w:rsidRDefault="0021534C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Uczeń po zrealizowaniu zajęć potrafi: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 xml:space="preserve">Poziom wymagań programowych </w:t>
            </w:r>
          </w:p>
        </w:tc>
        <w:tc>
          <w:tcPr>
            <w:tcW w:w="1616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B82923" w:rsidP="007E0BA5">
            <w:pPr>
              <w:pStyle w:val="tabelagwka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Liczba godzin</w:t>
            </w:r>
          </w:p>
        </w:tc>
        <w:tc>
          <w:tcPr>
            <w:tcW w:w="4255" w:type="dxa"/>
            <w:tcBorders>
              <w:top w:val="single" w:sz="8" w:space="0" w:color="auto"/>
            </w:tcBorders>
            <w:shd w:val="pct25" w:color="auto" w:fill="auto"/>
            <w:vAlign w:val="center"/>
          </w:tcPr>
          <w:p w:rsidR="0021534C" w:rsidRPr="007E61AC" w:rsidRDefault="0021534C" w:rsidP="007E0BA5">
            <w:pPr>
              <w:pStyle w:val="tabelagwka"/>
              <w:rPr>
                <w:rFonts w:cs="Calibri"/>
                <w:lang w:val="pl-PL"/>
              </w:rPr>
            </w:pPr>
            <w:r w:rsidRPr="007E61AC">
              <w:rPr>
                <w:rFonts w:cs="Calibri"/>
                <w:lang w:val="pl-PL"/>
              </w:rPr>
              <w:t>Materiał nauczania</w:t>
            </w: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A.33.1(1)1 analizować potrzeby klientów;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B82923" w:rsidRDefault="00B82923" w:rsidP="00F47AF0">
            <w:pPr>
              <w:pStyle w:val="tabela"/>
            </w:pPr>
            <w:r>
              <w:t>60</w:t>
            </w: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8C0682" w:rsidRDefault="008C0682" w:rsidP="00F47AF0">
            <w:pPr>
              <w:pStyle w:val="tabela"/>
            </w:pPr>
          </w:p>
          <w:p w:rsidR="00B82923" w:rsidRPr="00B82923" w:rsidRDefault="00B82923" w:rsidP="00B82923">
            <w:pPr>
              <w:pStyle w:val="tabela"/>
              <w:jc w:val="left"/>
            </w:pPr>
          </w:p>
        </w:tc>
        <w:tc>
          <w:tcPr>
            <w:tcW w:w="4255" w:type="dxa"/>
            <w:vMerge w:val="restart"/>
          </w:tcPr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Zasady obsługi klientów.</w:t>
            </w:r>
          </w:p>
          <w:p w:rsidR="00B82923" w:rsidRPr="007E61AC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Typy pasażerów.</w:t>
            </w:r>
          </w:p>
          <w:p w:rsidR="00B82923" w:rsidRPr="007E61AC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Zasady rozpatrywania reklamacji.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Rodzaje dokumentów</w:t>
            </w:r>
            <w:r>
              <w:rPr>
                <w:rFonts w:eastAsia="Arial Unicode MS"/>
              </w:rPr>
              <w:t xml:space="preserve"> w </w:t>
            </w:r>
            <w:r w:rsidRPr="00B0799A">
              <w:rPr>
                <w:rFonts w:eastAsia="Arial Unicode MS"/>
              </w:rPr>
              <w:t>obsłudze podróżnych.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>
              <w:rPr>
                <w:rFonts w:eastAsia="Arial Unicode MS"/>
                <w:lang w:val="pl-PL"/>
              </w:rPr>
              <w:t>Bilety, karty pokładowe.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Podstawy prawne obsługi klientów.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Oferta handlowa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Rodzaj środków technicznych obsługi klientów.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Proces odprawy podróżnych.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Przepisy prawa dotyczące transportu.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Zasady sporządzania dokumentacji</w:t>
            </w:r>
            <w:r>
              <w:rPr>
                <w:rFonts w:eastAsia="Arial Unicode MS"/>
              </w:rPr>
              <w:t>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Rodzaje dokumentów przewozowych</w:t>
            </w:r>
            <w:r>
              <w:rPr>
                <w:rFonts w:eastAsia="Arial Unicode MS"/>
              </w:rPr>
              <w:t>.</w:t>
            </w:r>
          </w:p>
          <w:p w:rsidR="00B82923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Arial Unicode MS"/>
              </w:rPr>
            </w:pPr>
            <w:r w:rsidRPr="00B0799A">
              <w:rPr>
                <w:rFonts w:eastAsia="Arial Unicode MS"/>
              </w:rPr>
              <w:t>Środki techniczne wykorzystywane</w:t>
            </w:r>
            <w:r>
              <w:rPr>
                <w:rFonts w:eastAsia="Arial Unicode MS"/>
              </w:rPr>
              <w:t xml:space="preserve"> w </w:t>
            </w:r>
            <w:r w:rsidRPr="00B0799A">
              <w:rPr>
                <w:rFonts w:eastAsia="Arial Unicode MS"/>
              </w:rPr>
              <w:t>obsłudze pasażerów</w:t>
            </w:r>
            <w:r>
              <w:rPr>
                <w:rFonts w:eastAsia="Arial Unicode MS"/>
              </w:rPr>
              <w:t>.</w:t>
            </w: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Default="00B82923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8C0682" w:rsidRDefault="008C0682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B82923" w:rsidRPr="007E61AC" w:rsidRDefault="00B82923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A.33.1(1)2 zaprezentować klientom oferowane usługi;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Pr="007E61AC" w:rsidRDefault="00B82923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A.33.1(1)3 obsłużyć klientów zgodnie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przyjętymi zasadami;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Pr="007E61AC" w:rsidRDefault="00B82923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A.33.1(1)4 rozpatrzyć reklamację klienta po wykonaniu konkretnej usługi;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A.33.1(4)1 </w:t>
            </w:r>
            <w:r w:rsidRPr="006A2E82">
              <w:rPr>
                <w:rFonts w:eastAsia="Arial Unicode MS"/>
              </w:rPr>
              <w:t>wymienić podstawy prawne ustalania terminów realizacji usług;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A.33.1(4)2 </w:t>
            </w:r>
            <w:r w:rsidRPr="006A2E82">
              <w:rPr>
                <w:rFonts w:eastAsia="Arial Unicode MS"/>
              </w:rPr>
              <w:t>analizować czynniki wpływające na terminy realizacji usług;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A.33.1(4)3 s</w:t>
            </w:r>
            <w:r w:rsidRPr="006A2E82">
              <w:rPr>
                <w:rFonts w:eastAsia="Arial Unicode MS"/>
              </w:rPr>
              <w:t>charakteryzować cele</w:t>
            </w:r>
            <w:r>
              <w:rPr>
                <w:rFonts w:eastAsia="Arial Unicode MS"/>
              </w:rPr>
              <w:t xml:space="preserve"> i </w:t>
            </w:r>
            <w:r w:rsidRPr="006A2E82">
              <w:rPr>
                <w:rFonts w:eastAsia="Arial Unicode MS"/>
              </w:rPr>
              <w:t>metody ustalania terminów realizacji usług;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A.33.1(4)4 opracować ofertę usług dla podróżnych;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Pr="007E61AC" w:rsidRDefault="00B82923" w:rsidP="007E0BA5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A.33.1(4)5 zapoznać podróżnych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ofertą usług;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</w:pPr>
            <w:r w:rsidRPr="007E61AC">
              <w:rPr>
                <w:rFonts w:eastAsia="Times New Roman"/>
              </w:rPr>
              <w:t xml:space="preserve">A.33.1(4)6 </w:t>
            </w:r>
            <w:r>
              <w:t>ustalić</w:t>
            </w:r>
            <w:r w:rsidRPr="006A2E82">
              <w:t xml:space="preserve"> zakresy odpowiedzialności</w:t>
            </w:r>
            <w:r>
              <w:t xml:space="preserve"> i </w:t>
            </w:r>
            <w:r w:rsidRPr="006A2E82">
              <w:t>obowiązków stron podczas realizacji usług</w:t>
            </w:r>
            <w:r>
              <w:t xml:space="preserve"> w </w:t>
            </w:r>
            <w:r w:rsidRPr="006A2E82">
              <w:t>portach</w:t>
            </w:r>
            <w:r>
              <w:t xml:space="preserve"> i </w:t>
            </w:r>
            <w:r w:rsidRPr="006A2E82">
              <w:t>terminalach</w:t>
            </w:r>
            <w:r>
              <w:t>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A.33.1(6)1 </w:t>
            </w:r>
            <w:r w:rsidRPr="006A2E82">
              <w:t>sporządzić dokumenty dotyczące usług zgodnie</w:t>
            </w:r>
            <w:r>
              <w:t xml:space="preserve"> z </w:t>
            </w:r>
            <w:r w:rsidRPr="006A2E82">
              <w:t>obowiązującymi zasadami</w:t>
            </w:r>
            <w:r>
              <w:t>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A.33.1(6)2 </w:t>
            </w:r>
            <w:r w:rsidRPr="006A2E82">
              <w:t>prowadzić dokumentację usług</w:t>
            </w:r>
            <w:r>
              <w:t xml:space="preserve"> w </w:t>
            </w:r>
            <w:r w:rsidRPr="006A2E82">
              <w:t>portach</w:t>
            </w:r>
            <w:r>
              <w:t xml:space="preserve"> i </w:t>
            </w:r>
            <w:r w:rsidRPr="006A2E82">
              <w:t>terminalach</w:t>
            </w:r>
            <w:r>
              <w:t>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A.33.1(6)3 </w:t>
            </w:r>
            <w:r w:rsidRPr="006A2E82">
              <w:rPr>
                <w:rFonts w:eastAsia="Arial Unicode MS"/>
              </w:rPr>
              <w:t>sporządzić dokumentację przewozową;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A.33.1(5)1 s</w:t>
            </w:r>
            <w:r w:rsidRPr="006A2E82">
              <w:rPr>
                <w:rFonts w:eastAsia="Arial Unicode MS"/>
              </w:rPr>
              <w:t>charakteryzować zakres czynności obsługowych;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A.33.1(5)2 </w:t>
            </w:r>
            <w:r w:rsidRPr="006A2E82">
              <w:rPr>
                <w:rFonts w:eastAsia="Arial Unicode MS"/>
              </w:rPr>
              <w:t>analizować podstawy prawne obsługi klientów;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A.33.1(5)3 </w:t>
            </w:r>
            <w:r>
              <w:rPr>
                <w:rFonts w:eastAsia="Arial Unicode MS"/>
              </w:rPr>
              <w:t>dobrać</w:t>
            </w:r>
            <w:r w:rsidRPr="006A2E82">
              <w:rPr>
                <w:rFonts w:eastAsia="Arial Unicode MS"/>
              </w:rPr>
              <w:t xml:space="preserve"> środki techniczne do obsługi pasażerów;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lastRenderedPageBreak/>
              <w:t>A.33.1(5)4 s</w:t>
            </w:r>
            <w:r w:rsidRPr="006A2E82">
              <w:rPr>
                <w:rFonts w:eastAsia="Arial Unicode MS"/>
              </w:rPr>
              <w:t>charakteryzować proces odprawy</w:t>
            </w:r>
            <w:r>
              <w:rPr>
                <w:rFonts w:eastAsia="Arial Unicode MS"/>
              </w:rPr>
              <w:t xml:space="preserve"> w </w:t>
            </w:r>
            <w:r w:rsidRPr="006A2E82">
              <w:rPr>
                <w:rFonts w:eastAsia="Arial Unicode MS"/>
              </w:rPr>
              <w:t>zależności od rodzaju;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B82923" w:rsidRPr="00B0799A" w:rsidTr="00B82923">
        <w:trPr>
          <w:trHeight w:val="284"/>
        </w:trPr>
        <w:tc>
          <w:tcPr>
            <w:tcW w:w="6241" w:type="dxa"/>
            <w:vAlign w:val="center"/>
          </w:tcPr>
          <w:p w:rsidR="00B82923" w:rsidRDefault="00B82923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lastRenderedPageBreak/>
              <w:t xml:space="preserve">A.33.1(7)1 </w:t>
            </w:r>
            <w:r w:rsidRPr="006A2E82">
              <w:rPr>
                <w:rFonts w:eastAsia="Arial Unicode MS"/>
              </w:rPr>
              <w:t>określić źródła przepisów prawa dotyczących transportu;</w:t>
            </w:r>
          </w:p>
        </w:tc>
        <w:tc>
          <w:tcPr>
            <w:tcW w:w="1648" w:type="dxa"/>
            <w:vAlign w:val="center"/>
          </w:tcPr>
          <w:p w:rsidR="00B82923" w:rsidRDefault="00B82923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B82923" w:rsidRDefault="00B82923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B82923" w:rsidRDefault="00B82923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A.33.1(7)2 </w:t>
            </w:r>
            <w:r w:rsidRPr="006A2E82">
              <w:t>wyjaśnić przepisy prawa dotyczące transportu,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 w:val="restart"/>
            <w:vAlign w:val="center"/>
          </w:tcPr>
          <w:p w:rsidR="00F47AF0" w:rsidRDefault="00F47AF0" w:rsidP="007E0BA5">
            <w:pPr>
              <w:pStyle w:val="tabela"/>
            </w:pPr>
            <w:r>
              <w:t>30</w:t>
            </w: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8C0682" w:rsidRDefault="008C0682" w:rsidP="007E0BA5">
            <w:pPr>
              <w:pStyle w:val="tabela"/>
            </w:pPr>
          </w:p>
          <w:p w:rsidR="00F47AF0" w:rsidRDefault="00F47AF0" w:rsidP="00F47AF0">
            <w:pPr>
              <w:pStyle w:val="tabela"/>
              <w:jc w:val="left"/>
            </w:pPr>
          </w:p>
        </w:tc>
        <w:tc>
          <w:tcPr>
            <w:tcW w:w="4255" w:type="dxa"/>
            <w:vMerge w:val="restart"/>
          </w:tcPr>
          <w:p w:rsidR="008C0682" w:rsidRDefault="008C0682" w:rsidP="00B82923">
            <w:pPr>
              <w:pStyle w:val="tabelapunktowanieok"/>
              <w:numPr>
                <w:ilvl w:val="0"/>
                <w:numId w:val="0"/>
              </w:numPr>
              <w:rPr>
                <w:rFonts w:eastAsia="Arial Unicode MS"/>
              </w:rPr>
            </w:pPr>
          </w:p>
          <w:p w:rsidR="008C0682" w:rsidRDefault="008C0682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cs="Arial"/>
              </w:rPr>
            </w:pPr>
            <w:r w:rsidRPr="00B0799A">
              <w:rPr>
                <w:rFonts w:cs="Arial"/>
              </w:rPr>
              <w:t>Przepisy krajowe</w:t>
            </w:r>
            <w:r>
              <w:rPr>
                <w:rFonts w:cs="Arial"/>
              </w:rPr>
              <w:t xml:space="preserve"> i </w:t>
            </w:r>
            <w:r w:rsidRPr="00B0799A">
              <w:rPr>
                <w:rFonts w:cs="Arial"/>
              </w:rPr>
              <w:t>międzynarodowe związane</w:t>
            </w:r>
            <w:r>
              <w:rPr>
                <w:rFonts w:cs="Arial"/>
              </w:rPr>
              <w:t xml:space="preserve"> z </w:t>
            </w:r>
            <w:r w:rsidRPr="00B0799A">
              <w:rPr>
                <w:rFonts w:cs="Arial"/>
              </w:rPr>
              <w:t>obsługą ładunków niebezpiecznych</w:t>
            </w:r>
            <w:r>
              <w:rPr>
                <w:rFonts w:cs="Arial"/>
              </w:rPr>
              <w:t xml:space="preserve"> i </w:t>
            </w:r>
            <w:r w:rsidRPr="00B0799A">
              <w:rPr>
                <w:rFonts w:cs="Arial"/>
              </w:rPr>
              <w:t>odpadów.</w:t>
            </w:r>
          </w:p>
          <w:p w:rsidR="008C0682" w:rsidRDefault="008C0682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cs="Arial"/>
              </w:rPr>
            </w:pPr>
            <w:r w:rsidRPr="00B0799A">
              <w:rPr>
                <w:rFonts w:cs="Arial"/>
              </w:rPr>
              <w:t>Zasady dochodzenia roszczeń</w:t>
            </w:r>
            <w:r>
              <w:rPr>
                <w:rFonts w:cs="Arial"/>
              </w:rPr>
              <w:t xml:space="preserve"> w </w:t>
            </w:r>
            <w:r w:rsidRPr="00B0799A">
              <w:rPr>
                <w:rFonts w:cs="Arial"/>
              </w:rPr>
              <w:t>transporcie.</w:t>
            </w:r>
          </w:p>
          <w:p w:rsidR="008C0682" w:rsidRPr="00B82923" w:rsidRDefault="008C0682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 w:cs="Arial"/>
              </w:rPr>
              <w:t xml:space="preserve">Zasady </w:t>
            </w:r>
            <w:r w:rsidRPr="00B0799A">
              <w:rPr>
                <w:rFonts w:eastAsia="Arial Unicode MS"/>
              </w:rPr>
              <w:t>obsługi związanej</w:t>
            </w:r>
            <w:r>
              <w:rPr>
                <w:rFonts w:eastAsia="Arial Unicode MS"/>
              </w:rPr>
              <w:t xml:space="preserve"> z </w:t>
            </w:r>
            <w:r w:rsidRPr="00B0799A">
              <w:rPr>
                <w:rFonts w:eastAsia="Arial Unicode MS"/>
              </w:rPr>
              <w:t>przewozem osób chorych, niepełnosprawnych</w:t>
            </w:r>
            <w:r>
              <w:rPr>
                <w:rFonts w:eastAsia="Arial Unicode MS"/>
              </w:rPr>
              <w:t xml:space="preserve"> i </w:t>
            </w:r>
            <w:r w:rsidRPr="00B0799A">
              <w:rPr>
                <w:rFonts w:eastAsia="Arial Unicode MS"/>
              </w:rPr>
              <w:t>wymagających szczególnej troski.</w:t>
            </w:r>
          </w:p>
          <w:p w:rsidR="00F47AF0" w:rsidRDefault="008C0682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cs="Times New Roman"/>
              </w:rPr>
            </w:pPr>
            <w:r>
              <w:rPr>
                <w:rFonts w:eastAsia="Arial Unicode MS"/>
                <w:lang w:val="pl-PL"/>
              </w:rPr>
              <w:t>Sporządzanie dokumentacji.</w:t>
            </w: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>A.33.1(7)3 ocenić zgodność dokumentacji związanej ze środkami transportu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obowiązującymi przepisami;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</w:pPr>
            <w:r w:rsidRPr="007E61AC">
              <w:rPr>
                <w:rFonts w:eastAsia="Times New Roman"/>
              </w:rPr>
              <w:t>A.33.1(7)4 s</w:t>
            </w:r>
            <w:r w:rsidRPr="006A2E82">
              <w:t>charakteryzować przepisy krajowe</w:t>
            </w:r>
            <w:r>
              <w:t xml:space="preserve"> i </w:t>
            </w:r>
            <w:r w:rsidRPr="006A2E82">
              <w:t>międzynarodowe związane</w:t>
            </w:r>
            <w:r>
              <w:t xml:space="preserve"> z </w:t>
            </w:r>
            <w:r w:rsidRPr="006A2E82">
              <w:t>obsługą ładunków niebezpiecznych</w:t>
            </w:r>
            <w:r>
              <w:t xml:space="preserve"> i </w:t>
            </w:r>
            <w:r w:rsidRPr="006A2E82">
              <w:t>odpadów;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</w:pPr>
            <w:r w:rsidRPr="007E61AC">
              <w:rPr>
                <w:rFonts w:eastAsia="Times New Roman"/>
              </w:rPr>
              <w:t xml:space="preserve">A.33.1(7)5 </w:t>
            </w:r>
            <w:r w:rsidRPr="006A2E82">
              <w:t>posłużyć się przepisami krajowymi związanymi</w:t>
            </w:r>
            <w:r>
              <w:t xml:space="preserve"> z </w:t>
            </w:r>
            <w:r w:rsidRPr="006A2E82">
              <w:t>transportem;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</w:pPr>
            <w:r w:rsidRPr="007E61AC">
              <w:rPr>
                <w:rFonts w:eastAsia="Times New Roman"/>
              </w:rPr>
              <w:t xml:space="preserve">A.33.1(7)6 </w:t>
            </w:r>
            <w:r w:rsidRPr="006A2E82">
              <w:t>określić zasady dochodzenia roszczeń</w:t>
            </w:r>
            <w:r>
              <w:t xml:space="preserve"> w </w:t>
            </w:r>
            <w:r w:rsidRPr="006A2E82">
              <w:t>transporcie;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A.33.1(8)1 </w:t>
            </w:r>
            <w:r w:rsidRPr="006A2E82">
              <w:rPr>
                <w:rFonts w:eastAsia="Arial Unicode MS"/>
              </w:rPr>
              <w:t>wymienić normy</w:t>
            </w:r>
            <w:r>
              <w:rPr>
                <w:rFonts w:eastAsia="Arial Unicode MS"/>
              </w:rPr>
              <w:t xml:space="preserve"> i </w:t>
            </w:r>
            <w:r w:rsidRPr="006A2E82">
              <w:rPr>
                <w:rFonts w:eastAsia="Arial Unicode MS"/>
              </w:rPr>
              <w:t>przepisy dotyczące prawa dotyczące obsługi podróżnych;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A.33.1(8)2 </w:t>
            </w:r>
            <w:r w:rsidRPr="006A2E82">
              <w:t>posłużyć się aktami prawnymi dotyczącymi przewozu osób</w:t>
            </w:r>
            <w:r>
              <w:t xml:space="preserve"> i </w:t>
            </w:r>
            <w:r w:rsidRPr="006A2E82">
              <w:t>rzeczy;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</w:pPr>
            <w:r w:rsidRPr="007E61AC">
              <w:rPr>
                <w:rFonts w:eastAsia="Times New Roman"/>
              </w:rPr>
              <w:t xml:space="preserve">A.33.1(8)3 </w:t>
            </w:r>
            <w:r w:rsidRPr="006A2E82">
              <w:t>wymienić konsekwencje</w:t>
            </w:r>
            <w:r>
              <w:t xml:space="preserve"> z </w:t>
            </w:r>
            <w:r w:rsidRPr="006A2E82">
              <w:t>nieprzestrzegania norm</w:t>
            </w:r>
            <w:r>
              <w:t xml:space="preserve"> i </w:t>
            </w:r>
            <w:r w:rsidRPr="006A2E82">
              <w:t>przepisów prawa dotyczących obsługi podróżnych;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A.33.2(6)1 </w:t>
            </w:r>
            <w:r w:rsidRPr="006A2E82">
              <w:rPr>
                <w:rFonts w:eastAsia="Arial Unicode MS"/>
              </w:rPr>
              <w:t>wymienić zasady obsługi związanej</w:t>
            </w:r>
            <w:r>
              <w:rPr>
                <w:rFonts w:eastAsia="Arial Unicode MS"/>
              </w:rPr>
              <w:t xml:space="preserve"> z </w:t>
            </w:r>
            <w:r w:rsidRPr="006A2E82">
              <w:rPr>
                <w:rFonts w:eastAsia="Arial Unicode MS"/>
              </w:rPr>
              <w:t>przewozem osób chorych, niepełnosprawnych</w:t>
            </w:r>
            <w:r>
              <w:rPr>
                <w:rFonts w:eastAsia="Arial Unicode MS"/>
              </w:rPr>
              <w:t xml:space="preserve"> i </w:t>
            </w:r>
            <w:r w:rsidRPr="006A2E82">
              <w:rPr>
                <w:rFonts w:eastAsia="Arial Unicode MS"/>
              </w:rPr>
              <w:t>wymagających szczególnej troski;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A.33.2(6)2 </w:t>
            </w:r>
            <w:r w:rsidRPr="006A2E82">
              <w:rPr>
                <w:rFonts w:eastAsia="Arial Unicode MS"/>
              </w:rPr>
              <w:t>sporządzić regulamin dotyczący obsługi związanej</w:t>
            </w:r>
            <w:r>
              <w:rPr>
                <w:rFonts w:eastAsia="Arial Unicode MS"/>
              </w:rPr>
              <w:t xml:space="preserve"> z </w:t>
            </w:r>
            <w:r w:rsidRPr="006A2E82">
              <w:rPr>
                <w:rFonts w:eastAsia="Arial Unicode MS"/>
              </w:rPr>
              <w:t>przewozem osób chorych, niepełnosprawnych</w:t>
            </w:r>
            <w:r>
              <w:rPr>
                <w:rFonts w:eastAsia="Arial Unicode MS"/>
              </w:rPr>
              <w:t xml:space="preserve"> i </w:t>
            </w:r>
            <w:r w:rsidRPr="006A2E82">
              <w:rPr>
                <w:rFonts w:eastAsia="Arial Unicode MS"/>
              </w:rPr>
              <w:t>wymagających szczególnej troski;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F47AF0" w:rsidRPr="00B0799A" w:rsidTr="00B82923">
        <w:trPr>
          <w:trHeight w:val="284"/>
        </w:trPr>
        <w:tc>
          <w:tcPr>
            <w:tcW w:w="6241" w:type="dxa"/>
            <w:vAlign w:val="center"/>
          </w:tcPr>
          <w:p w:rsidR="00F47AF0" w:rsidRDefault="00F47AF0" w:rsidP="007E0BA5">
            <w:pPr>
              <w:pStyle w:val="tabelalewa"/>
              <w:rPr>
                <w:rFonts w:eastAsia="Arial Unicode MS"/>
              </w:rPr>
            </w:pPr>
            <w:r w:rsidRPr="007E61AC">
              <w:rPr>
                <w:rFonts w:eastAsia="Times New Roman"/>
              </w:rPr>
              <w:t xml:space="preserve">A.33.2(6)3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zasady </w:t>
            </w:r>
            <w:r w:rsidRPr="006A2E82">
              <w:rPr>
                <w:rFonts w:eastAsia="Arial Unicode MS"/>
              </w:rPr>
              <w:t>obsługi związanej</w:t>
            </w:r>
            <w:r>
              <w:rPr>
                <w:rFonts w:eastAsia="Arial Unicode MS"/>
              </w:rPr>
              <w:t xml:space="preserve"> z </w:t>
            </w:r>
            <w:r w:rsidRPr="006A2E82">
              <w:rPr>
                <w:rFonts w:eastAsia="Arial Unicode MS"/>
              </w:rPr>
              <w:t>przewozem osób chorych, niepełnosprawnych</w:t>
            </w:r>
            <w:r>
              <w:rPr>
                <w:rFonts w:eastAsia="Arial Unicode MS"/>
              </w:rPr>
              <w:t xml:space="preserve"> i </w:t>
            </w:r>
            <w:r w:rsidRPr="006A2E82">
              <w:rPr>
                <w:rFonts w:eastAsia="Arial Unicode MS"/>
              </w:rPr>
              <w:t>wymagających szczególnej troski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1648" w:type="dxa"/>
            <w:vAlign w:val="center"/>
          </w:tcPr>
          <w:p w:rsidR="00F47AF0" w:rsidRDefault="00F47AF0" w:rsidP="007E0BA5">
            <w:pPr>
              <w:pStyle w:val="tabela"/>
            </w:pPr>
            <w:r w:rsidRPr="006A2E82">
              <w:t>P</w:t>
            </w:r>
          </w:p>
        </w:tc>
        <w:tc>
          <w:tcPr>
            <w:tcW w:w="1616" w:type="dxa"/>
            <w:vMerge/>
            <w:vAlign w:val="center"/>
          </w:tcPr>
          <w:p w:rsidR="00F47AF0" w:rsidRDefault="00F47AF0" w:rsidP="007E0BA5">
            <w:pPr>
              <w:pStyle w:val="tabela"/>
            </w:pPr>
          </w:p>
        </w:tc>
        <w:tc>
          <w:tcPr>
            <w:tcW w:w="4255" w:type="dxa"/>
            <w:vMerge/>
          </w:tcPr>
          <w:p w:rsidR="00F47AF0" w:rsidRDefault="00F47AF0" w:rsidP="007E0BA5">
            <w:pPr>
              <w:pStyle w:val="Default"/>
              <w:rPr>
                <w:rFonts w:ascii="Calibri" w:hAnsi="Calibri" w:cs="Times New Roman"/>
                <w:color w:val="auto"/>
                <w:sz w:val="18"/>
              </w:rPr>
            </w:pPr>
          </w:p>
        </w:tc>
      </w:tr>
      <w:tr w:rsidR="0021534C" w:rsidRPr="00B0799A" w:rsidTr="00B82923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B0799A">
              <w:t>Planowane zadania</w:t>
            </w:r>
          </w:p>
          <w:p w:rsidR="0021534C" w:rsidRDefault="0021534C" w:rsidP="007E0BA5">
            <w:pPr>
              <w:pStyle w:val="calibri9pogrubionyprzed3"/>
              <w:rPr>
                <w:bCs/>
                <w:szCs w:val="18"/>
              </w:rPr>
            </w:pPr>
            <w:r w:rsidRPr="006A2E82">
              <w:rPr>
                <w:bCs/>
                <w:szCs w:val="18"/>
              </w:rPr>
              <w:t>Sporządzeni</w:t>
            </w:r>
            <w:r>
              <w:rPr>
                <w:bCs/>
                <w:szCs w:val="18"/>
              </w:rPr>
              <w:t xml:space="preserve">e </w:t>
            </w:r>
            <w:r w:rsidRPr="006A2E82">
              <w:rPr>
                <w:bCs/>
                <w:szCs w:val="18"/>
              </w:rPr>
              <w:t>planu oferty usługi portów</w:t>
            </w:r>
            <w:r>
              <w:rPr>
                <w:bCs/>
                <w:szCs w:val="18"/>
              </w:rPr>
              <w:t xml:space="preserve"> i </w:t>
            </w:r>
            <w:r w:rsidRPr="006A2E82">
              <w:rPr>
                <w:bCs/>
                <w:szCs w:val="18"/>
              </w:rPr>
              <w:t>terminali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 dyspozycji masz stanowisko komputerowe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 oraz dostępne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pracowni akty prawne dotyczące transportu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usług transportowych, normy, katalogi, poradniki. Sporządzony plan ofert usługi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 będziesz prezentować na forum grupy (15 minut) oraz przekażesz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wersji napisanej lub drukowanej do oceny.</w:t>
            </w:r>
          </w:p>
        </w:tc>
      </w:tr>
      <w:tr w:rsidR="0021534C" w:rsidRPr="00B0799A" w:rsidTr="00B82923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6A2E82">
              <w:t>Warunki osiągania efektów kształcenia</w:t>
            </w:r>
            <w:r>
              <w:t xml:space="preserve"> w </w:t>
            </w:r>
            <w:r w:rsidRPr="006A2E82">
              <w:t>tym środki dydaktyczne, metody, formy organizacyjne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Pracownia obsługi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wyposażona w: stanowiska komputerowe podłączone do sieci lokalnej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edytorem tekstu, arkuszem kalkulacyjnym, programem do tworzenia prezentacji oraz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oprogramowaniem wspomagającym obsługę podróżnych (jedno stanowisko dla trzech uczniów), filmy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materiały dydaktyczne przedstawiające pracę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terminali, obsługę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obsługę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 podczas sytuacji kryzysowych, urządzenia komunikacji przewodowej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bezprzewodowej (telefon, faks, zestaw krótkofalówek, komunikatory typu </w:t>
            </w:r>
            <w:proofErr w:type="spellStart"/>
            <w:r w:rsidRPr="007E61AC">
              <w:rPr>
                <w:rFonts w:eastAsia="Times New Roman"/>
              </w:rPr>
              <w:t>hands</w:t>
            </w:r>
            <w:proofErr w:type="spellEnd"/>
            <w:r w:rsidRPr="007E61AC">
              <w:rPr>
                <w:rFonts w:eastAsia="Times New Roman"/>
              </w:rPr>
              <w:t xml:space="preserve"> </w:t>
            </w:r>
            <w:proofErr w:type="spellStart"/>
            <w:r w:rsidRPr="007E61AC">
              <w:rPr>
                <w:rFonts w:eastAsia="Times New Roman"/>
              </w:rPr>
              <w:t>free</w:t>
            </w:r>
            <w:proofErr w:type="spellEnd"/>
            <w:r w:rsidRPr="007E61AC">
              <w:rPr>
                <w:rFonts w:eastAsia="Times New Roman"/>
              </w:rPr>
              <w:t>), zestaw przepisów dotyczących obsługi 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terminalach, zestaw do udzielania pierwszej pomocy wraz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dokumentacją udzielania pomocy poszkodowanym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postępowania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sytuacjach zagrożenia zdrowia lub życia podróżnych.</w:t>
            </w:r>
          </w:p>
          <w:p w:rsidR="0021534C" w:rsidRDefault="0021534C" w:rsidP="007E0BA5">
            <w:pPr>
              <w:pStyle w:val="calibri9pogrubionyprzed3"/>
            </w:pPr>
            <w:r w:rsidRPr="006A2E82">
              <w:t>Środki dydaktyczne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Komputer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oprogramowaniem do wyznaczania tras, akty prawne dotyczące transportu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usług transportowych, tablice, foliogramy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plansze przedstawiające klasyfikację środków transportu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usług transportowych, prezentacje multimedialne dotyczące usług transportowych,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terminali, filmy dydaktyczne, prasa specjalistyczna, normy, katalogi, poradniki, zestawy ćwiczeń, instrukcje do ćwiczeń, karty pracy uczniów, urządzenia biurowe, urządzenia multimedialne.</w:t>
            </w:r>
          </w:p>
          <w:p w:rsidR="0021534C" w:rsidRDefault="0021534C" w:rsidP="007E0BA5">
            <w:pPr>
              <w:pStyle w:val="calibri9pogrubionyprzed3"/>
            </w:pPr>
            <w:r w:rsidRPr="006A2E82">
              <w:t>Zalecane metody dydaktyczne</w:t>
            </w:r>
          </w:p>
          <w:p w:rsidR="0021534C" w:rsidRPr="007E61AC" w:rsidRDefault="0021534C" w:rsidP="007E0BA5">
            <w:pPr>
              <w:pStyle w:val="tabelalewa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Dominującą metodą powinny być aktywizujące metody kształcenia, ze szczególnym uwzględnieniem metody ćwiczeń praktycznych, tekstu przewodniego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projektów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wykorzystaniem komputerów. Uczniowie powinni otrzymywać zróżnicowane pomoce dydaktyczne do ćwiczenia umiejętności sporządzenia planu realizacji usługi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 Ćwiczenia powinny być poprzedzane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 xml:space="preserve">zastosowaniem na wstępie podających metod nauczania, tj. </w:t>
            </w:r>
            <w:proofErr w:type="spellStart"/>
            <w:r w:rsidRPr="007E61AC">
              <w:rPr>
                <w:rFonts w:eastAsia="Times New Roman"/>
              </w:rPr>
              <w:t>miniwykładu</w:t>
            </w:r>
            <w:proofErr w:type="spellEnd"/>
            <w:r w:rsidRPr="007E61AC">
              <w:rPr>
                <w:rFonts w:eastAsia="Times New Roman"/>
              </w:rPr>
              <w:t>, pogadanki.</w:t>
            </w:r>
          </w:p>
          <w:p w:rsidR="0021534C" w:rsidRDefault="0021534C" w:rsidP="007E0BA5">
            <w:pPr>
              <w:pStyle w:val="calibri9pogrubionyprzed3"/>
            </w:pPr>
            <w:r w:rsidRPr="006A2E82">
              <w:t>Formy organizacyjne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Zajęcia powinny być prowadzone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grupach do 30 osób. Dominująca forma organizacyjna pracy uczniów: indywidualnie lub praca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grupie.</w:t>
            </w:r>
          </w:p>
        </w:tc>
      </w:tr>
      <w:tr w:rsidR="0021534C" w:rsidRPr="00B0799A" w:rsidTr="00B82923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B0799A">
              <w:lastRenderedPageBreak/>
              <w:t>Propozycje kryteriów oceny</w:t>
            </w:r>
            <w:r>
              <w:t xml:space="preserve"> i </w:t>
            </w:r>
            <w:r w:rsidRPr="00B0799A">
              <w:t xml:space="preserve">metod sprawdzania efektów kształcenia </w:t>
            </w:r>
          </w:p>
          <w:p w:rsidR="0021534C" w:rsidRPr="007E61AC" w:rsidRDefault="0021534C" w:rsidP="007E0BA5">
            <w:pPr>
              <w:pStyle w:val="tabelalewapo3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Sprawdzanie efektów kształcenia powinno być przeprowadzone na podstawie prezentacji oraz wykonanego zadania. W ocenie należy uwzględnić następujące kryteria ogólne: zawartość merytoryczna (z uzasadnieniem wyboru usługi), format dokumentacji (układ, bezbłędny edycyjnie), sposób prezentacji.</w:t>
            </w:r>
          </w:p>
        </w:tc>
      </w:tr>
      <w:tr w:rsidR="0021534C" w:rsidRPr="00B0799A" w:rsidTr="00B82923">
        <w:trPr>
          <w:trHeight w:val="284"/>
        </w:trPr>
        <w:tc>
          <w:tcPr>
            <w:tcW w:w="13760" w:type="dxa"/>
            <w:gridSpan w:val="4"/>
          </w:tcPr>
          <w:p w:rsidR="0021534C" w:rsidRDefault="0021534C" w:rsidP="007E0BA5">
            <w:pPr>
              <w:pStyle w:val="calibri9pogrubionyprzed3"/>
            </w:pPr>
            <w:r w:rsidRPr="00B0799A">
              <w:t xml:space="preserve">Formy indywidualizacji pracy uczniów uwzględniające: </w:t>
            </w:r>
          </w:p>
          <w:p w:rsidR="0021534C" w:rsidRPr="007E61AC" w:rsidRDefault="0021534C" w:rsidP="0021534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potrzeb ucznia,</w:t>
            </w:r>
          </w:p>
          <w:p w:rsidR="0021534C" w:rsidRPr="007E61AC" w:rsidRDefault="0021534C" w:rsidP="0021534C">
            <w:pPr>
              <w:pStyle w:val="tabelapunktowanieok"/>
              <w:tabs>
                <w:tab w:val="clear" w:pos="360"/>
                <w:tab w:val="num" w:pos="0"/>
              </w:tabs>
              <w:spacing w:after="60"/>
              <w:ind w:left="357" w:hanging="357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możliwości ucznia.</w:t>
            </w:r>
          </w:p>
        </w:tc>
      </w:tr>
    </w:tbl>
    <w:p w:rsidR="00AD3CF4" w:rsidRPr="00F33039" w:rsidRDefault="00AD3CF4" w:rsidP="00AD3CF4">
      <w:pPr>
        <w:pStyle w:val="Akapitzlist"/>
        <w:numPr>
          <w:ilvl w:val="0"/>
          <w:numId w:val="2"/>
        </w:numPr>
        <w:rPr>
          <w:u w:val="single"/>
        </w:rPr>
      </w:pPr>
      <w:r w:rsidRPr="00F33039">
        <w:rPr>
          <w:u w:val="single"/>
        </w:rPr>
        <w:t>ZASADY SPRAWDZANIA</w:t>
      </w:r>
      <w:r>
        <w:rPr>
          <w:u w:val="single"/>
        </w:rPr>
        <w:t xml:space="preserve"> WIEDZY</w:t>
      </w:r>
      <w:r w:rsidRPr="00F33039">
        <w:rPr>
          <w:u w:val="single"/>
        </w:rPr>
        <w:t xml:space="preserve"> I OCENIANIA </w:t>
      </w:r>
    </w:p>
    <w:p w:rsidR="00AD3CF4" w:rsidRDefault="00AD3CF4" w:rsidP="00AD3CF4">
      <w:pPr>
        <w:pStyle w:val="Akapitzlist"/>
        <w:numPr>
          <w:ilvl w:val="0"/>
          <w:numId w:val="3"/>
        </w:numPr>
      </w:pPr>
      <w:r>
        <w:t xml:space="preserve">Uczeń otrzymuje oceny za realizację wymagań edukacyjnych, które zostały określone i podane przez nauczyciela na początku roku. 2. Uczeń oceniany jest za swoje osiągnięcia – wiedzę, umiejętności oraz postawy np. aktywność, kreatywność. 3. Prowadzenie zeszytu przedmiotowego jest obowiązkowe. </w:t>
      </w:r>
    </w:p>
    <w:p w:rsidR="00AD3CF4" w:rsidRDefault="00AD3CF4" w:rsidP="00AD3CF4">
      <w:pPr>
        <w:pStyle w:val="Akapitzlist"/>
        <w:ind w:left="1440"/>
      </w:pPr>
    </w:p>
    <w:p w:rsidR="00AD3CF4" w:rsidRDefault="00AD3CF4" w:rsidP="00AD3CF4">
      <w:pPr>
        <w:pStyle w:val="Akapitzlist"/>
        <w:numPr>
          <w:ilvl w:val="0"/>
          <w:numId w:val="2"/>
        </w:numPr>
      </w:pPr>
      <w:r>
        <w:t xml:space="preserve"> OBSZARY AKTYWNOŚCI PODLEGAJACE OCENIANIU 1. Wiedza i umiejętności przedmiotowe. 2. Aktywność na lekcjach. 3. Praca w grupach. 4. Wkład pracy i zaangażowanie w podejmowane działania. 5. Wytwory ucznia (samodzielne referaty, prezentacje). </w:t>
      </w:r>
    </w:p>
    <w:p w:rsidR="00AD3CF4" w:rsidRDefault="00AD3CF4" w:rsidP="00AD3CF4">
      <w:pPr>
        <w:pStyle w:val="Akapitzlist"/>
        <w:ind w:left="1080"/>
      </w:pPr>
    </w:p>
    <w:p w:rsidR="00AD3CF4" w:rsidRDefault="00AD3CF4" w:rsidP="00AD3CF4">
      <w:pPr>
        <w:pStyle w:val="Akapitzlist"/>
        <w:numPr>
          <w:ilvl w:val="0"/>
          <w:numId w:val="2"/>
        </w:numPr>
      </w:pPr>
      <w:r>
        <w:t xml:space="preserve">METODY SPRAWDZANIA OSIĄGNIĘĆ, FORMY POMIARU Formy ustne: </w:t>
      </w:r>
      <w:r>
        <w:sym w:font="Symbol" w:char="F0B7"/>
      </w:r>
      <w:r>
        <w:t xml:space="preserve"> Odpowiedzi ustne </w:t>
      </w:r>
      <w:r>
        <w:sym w:font="Symbol" w:char="F0B7"/>
      </w:r>
      <w:r>
        <w:t xml:space="preserve"> Aktywność na lekcjach </w:t>
      </w:r>
      <w:r>
        <w:sym w:font="Symbol" w:char="F0B7"/>
      </w:r>
      <w:r>
        <w:t xml:space="preserve"> Prezentacja </w:t>
      </w:r>
      <w:r>
        <w:sym w:font="Symbol" w:char="F0B7"/>
      </w:r>
      <w:r>
        <w:t xml:space="preserve"> Referat </w:t>
      </w:r>
      <w:r>
        <w:sym w:font="Symbol" w:char="F0B7"/>
      </w:r>
      <w:r>
        <w:t xml:space="preserve"> Ćwiczenia Formy pisemne: </w:t>
      </w:r>
      <w:r>
        <w:sym w:font="Symbol" w:char="F0B7"/>
      </w:r>
      <w:r>
        <w:t xml:space="preserve"> Testy </w:t>
      </w:r>
      <w:r>
        <w:sym w:font="Symbol" w:char="F0B7"/>
      </w:r>
      <w:r>
        <w:t xml:space="preserve"> Sprawdziany </w:t>
      </w:r>
      <w:r>
        <w:sym w:font="Symbol" w:char="F0B7"/>
      </w:r>
      <w:r>
        <w:t xml:space="preserve"> Kartkówki </w:t>
      </w:r>
      <w:r>
        <w:sym w:font="Symbol" w:char="F0B7"/>
      </w:r>
      <w:r>
        <w:t xml:space="preserve"> Zadania obliczeniowe </w:t>
      </w:r>
      <w:r>
        <w:sym w:font="Symbol" w:char="F0B7"/>
      </w:r>
      <w:r>
        <w:t xml:space="preserve"> Projekty Nadobowiązkowe: </w:t>
      </w:r>
      <w:r>
        <w:sym w:font="Symbol" w:char="F0B7"/>
      </w:r>
      <w:r>
        <w:t xml:space="preserve"> Zadania dodatkowe np. wykonanie prezentacji, referaty itp.</w:t>
      </w:r>
    </w:p>
    <w:p w:rsidR="00AD3CF4" w:rsidRDefault="00AD3CF4" w:rsidP="00AD3CF4">
      <w:pPr>
        <w:pStyle w:val="Akapitzlist"/>
      </w:pPr>
    </w:p>
    <w:p w:rsidR="00AD3CF4" w:rsidRDefault="00AD3CF4" w:rsidP="00AD3CF4">
      <w:pPr>
        <w:pStyle w:val="Akapitzlist"/>
        <w:numPr>
          <w:ilvl w:val="0"/>
          <w:numId w:val="2"/>
        </w:numPr>
      </w:pPr>
      <w:r>
        <w:t>OCENIANIE.</w:t>
      </w:r>
    </w:p>
    <w:p w:rsidR="00AD3CF4" w:rsidRDefault="00AD3CF4" w:rsidP="00AD3CF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D3CF4" w:rsidTr="00AC4208">
        <w:tc>
          <w:tcPr>
            <w:tcW w:w="6997" w:type="dxa"/>
          </w:tcPr>
          <w:p w:rsidR="00AD3CF4" w:rsidRPr="00F039B7" w:rsidRDefault="00AD3CF4" w:rsidP="00AC4208">
            <w:pPr>
              <w:pStyle w:val="Akapitzlist"/>
              <w:rPr>
                <w:u w:val="single"/>
              </w:rPr>
            </w:pPr>
            <w:r w:rsidRPr="00F039B7">
              <w:rPr>
                <w:u w:val="single"/>
              </w:rPr>
              <w:t>Stopień opanowania wiedzy na poszczególne oceny:</w:t>
            </w:r>
          </w:p>
          <w:p w:rsidR="00AD3CF4" w:rsidRDefault="00AD3CF4" w:rsidP="00AC4208"/>
        </w:tc>
        <w:tc>
          <w:tcPr>
            <w:tcW w:w="6997" w:type="dxa"/>
          </w:tcPr>
          <w:p w:rsidR="00AD3CF4" w:rsidRDefault="00AD3CF4" w:rsidP="00AC4208">
            <w:r>
              <w:t xml:space="preserve">Oceny semestralne i </w:t>
            </w:r>
            <w:proofErr w:type="spellStart"/>
            <w:r>
              <w:t>końcoworoczne</w:t>
            </w:r>
            <w:proofErr w:type="spellEnd"/>
          </w:p>
          <w:p w:rsidR="00AD3CF4" w:rsidRDefault="00AD3CF4" w:rsidP="00AC4208">
            <w:r>
              <w:t xml:space="preserve">(szczegółowe informacje znajdują się w </w:t>
            </w:r>
            <w:proofErr w:type="spellStart"/>
            <w:r>
              <w:t>wso</w:t>
            </w:r>
            <w:proofErr w:type="spellEnd"/>
            <w:r>
              <w:t>)</w:t>
            </w:r>
          </w:p>
        </w:tc>
      </w:tr>
      <w:tr w:rsidR="00AD3CF4" w:rsidTr="00AC4208">
        <w:tc>
          <w:tcPr>
            <w:tcW w:w="6997" w:type="dxa"/>
          </w:tcPr>
          <w:p w:rsidR="00AD3CF4" w:rsidRDefault="00AD3CF4" w:rsidP="00AC4208">
            <w:pPr>
              <w:pStyle w:val="Akapitzlist"/>
              <w:ind w:left="1080"/>
            </w:pPr>
            <w:r>
              <w:lastRenderedPageBreak/>
              <w:t xml:space="preserve">Niedostateczny: 0 – 40% </w:t>
            </w:r>
          </w:p>
          <w:p w:rsidR="00AD3CF4" w:rsidRDefault="00AD3CF4" w:rsidP="00AC4208">
            <w:pPr>
              <w:pStyle w:val="Akapitzlist"/>
              <w:ind w:left="1080"/>
            </w:pPr>
            <w:r>
              <w:t>Dopuszczający: 41- 55%</w:t>
            </w:r>
          </w:p>
          <w:p w:rsidR="00AD3CF4" w:rsidRDefault="00AD3CF4" w:rsidP="00AC4208">
            <w:pPr>
              <w:pStyle w:val="Akapitzlist"/>
              <w:ind w:left="1080"/>
            </w:pPr>
            <w:r>
              <w:t>Dostateczny:  56 – 70%</w:t>
            </w:r>
          </w:p>
          <w:p w:rsidR="00AD3CF4" w:rsidRDefault="00AD3CF4" w:rsidP="00AC4208">
            <w:pPr>
              <w:pStyle w:val="Akapitzlist"/>
              <w:ind w:left="1080"/>
            </w:pPr>
            <w:r>
              <w:t xml:space="preserve">Dobry: 71 – 85% </w:t>
            </w:r>
          </w:p>
          <w:p w:rsidR="00AD3CF4" w:rsidRDefault="00AD3CF4" w:rsidP="00AC4208">
            <w:pPr>
              <w:pStyle w:val="Akapitzlist"/>
              <w:ind w:left="1080"/>
            </w:pPr>
            <w:r>
              <w:t>Bardzo dobry: 86 -99%</w:t>
            </w:r>
          </w:p>
          <w:p w:rsidR="00AD3CF4" w:rsidRDefault="00AD3CF4" w:rsidP="00AC4208">
            <w:pPr>
              <w:pStyle w:val="Akapitzlist"/>
              <w:ind w:left="1080"/>
            </w:pPr>
            <w:r>
              <w:t>Celujący: 100%</w:t>
            </w:r>
          </w:p>
          <w:p w:rsidR="00AD3CF4" w:rsidRDefault="00AD3CF4" w:rsidP="00AC4208"/>
        </w:tc>
        <w:tc>
          <w:tcPr>
            <w:tcW w:w="6997" w:type="dxa"/>
          </w:tcPr>
          <w:p w:rsidR="00AD3CF4" w:rsidRDefault="00AD3CF4" w:rsidP="00AC4208">
            <w:proofErr w:type="spellStart"/>
            <w:r>
              <w:t>Ndst</w:t>
            </w:r>
            <w:proofErr w:type="spellEnd"/>
            <w:r>
              <w:t xml:space="preserve"> – średnia 0-1,69</w:t>
            </w:r>
          </w:p>
          <w:p w:rsidR="00AD3CF4" w:rsidRDefault="00AD3CF4" w:rsidP="00AC4208">
            <w:r>
              <w:t>Dopuszczający – 1,7 -2,49</w:t>
            </w:r>
          </w:p>
          <w:p w:rsidR="00AD3CF4" w:rsidRDefault="00AD3CF4" w:rsidP="00AC4208">
            <w:r>
              <w:t>Dostateczny – 2,5 – 3,49</w:t>
            </w:r>
          </w:p>
          <w:p w:rsidR="00AD3CF4" w:rsidRDefault="00AD3CF4" w:rsidP="00AC4208">
            <w:r>
              <w:t>Dobry – 3,5 – 4,49</w:t>
            </w:r>
          </w:p>
          <w:p w:rsidR="00AD3CF4" w:rsidRDefault="00AD3CF4" w:rsidP="00AC4208">
            <w:r>
              <w:t>Bardzo dobry – 4,5 – 5,49</w:t>
            </w:r>
          </w:p>
          <w:p w:rsidR="00AD3CF4" w:rsidRDefault="00AD3CF4" w:rsidP="00AC4208">
            <w:r>
              <w:t xml:space="preserve">Celujący- 5,5 </w:t>
            </w:r>
          </w:p>
        </w:tc>
      </w:tr>
    </w:tbl>
    <w:p w:rsidR="00107937" w:rsidRDefault="00107937">
      <w:bookmarkStart w:id="1" w:name="_GoBack"/>
      <w:bookmarkEnd w:id="1"/>
    </w:p>
    <w:sectPr w:rsidR="00107937" w:rsidSect="00215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CE2"/>
    <w:multiLevelType w:val="hybridMultilevel"/>
    <w:tmpl w:val="2C10B2A4"/>
    <w:lvl w:ilvl="0" w:tplc="1BA4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0E1B2A"/>
    <w:multiLevelType w:val="hybridMultilevel"/>
    <w:tmpl w:val="DD28DD38"/>
    <w:lvl w:ilvl="0" w:tplc="17C6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C"/>
    <w:rsid w:val="00107937"/>
    <w:rsid w:val="0021534C"/>
    <w:rsid w:val="003041A3"/>
    <w:rsid w:val="00336117"/>
    <w:rsid w:val="004B522A"/>
    <w:rsid w:val="005469AF"/>
    <w:rsid w:val="005E0AAB"/>
    <w:rsid w:val="00801D10"/>
    <w:rsid w:val="008C0682"/>
    <w:rsid w:val="00A16730"/>
    <w:rsid w:val="00AD3CF4"/>
    <w:rsid w:val="00B82923"/>
    <w:rsid w:val="00E51094"/>
    <w:rsid w:val="00F4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EF52-CF2F-40C1-AC85-35DB064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21534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21534C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21534C"/>
    <w:pPr>
      <w:jc w:val="center"/>
    </w:pPr>
    <w:rPr>
      <w:rFonts w:ascii="Calibri" w:eastAsia="Calibri" w:hAnsi="Calibri"/>
      <w:b/>
      <w:sz w:val="18"/>
      <w:szCs w:val="18"/>
      <w:lang w:val="x-none" w:eastAsia="en-US"/>
    </w:rPr>
  </w:style>
  <w:style w:type="character" w:customStyle="1" w:styleId="tabelagwkaZnak">
    <w:name w:val="tabela główka Znak"/>
    <w:link w:val="tabelagwka"/>
    <w:rsid w:val="0021534C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calibri9pogrubionyprzed3">
    <w:name w:val="calibri 9 (pogrubiony przed 3)"/>
    <w:basedOn w:val="Normalny"/>
    <w:rsid w:val="0021534C"/>
    <w:pPr>
      <w:autoSpaceDE w:val="0"/>
      <w:autoSpaceDN w:val="0"/>
      <w:adjustRightInd w:val="0"/>
      <w:spacing w:before="60" w:after="60"/>
      <w:jc w:val="both"/>
    </w:pPr>
    <w:rPr>
      <w:rFonts w:ascii="Calibri" w:hAnsi="Calibri" w:cs="Calibri"/>
      <w:b/>
      <w:iCs/>
      <w:sz w:val="18"/>
      <w:szCs w:val="20"/>
    </w:rPr>
  </w:style>
  <w:style w:type="paragraph" w:customStyle="1" w:styleId="tabela">
    <w:name w:val="tabela"/>
    <w:basedOn w:val="Normalny"/>
    <w:qFormat/>
    <w:rsid w:val="0021534C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21534C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paragraph" w:customStyle="1" w:styleId="tabelagwkalewa">
    <w:name w:val="tabela główka lewa"/>
    <w:basedOn w:val="tabelalewa"/>
    <w:qFormat/>
    <w:rsid w:val="0021534C"/>
    <w:rPr>
      <w:b/>
      <w:bCs w:val="0"/>
    </w:rPr>
  </w:style>
  <w:style w:type="paragraph" w:customStyle="1" w:styleId="tabelalewapo3">
    <w:name w:val="tabela lewa (po 3)"/>
    <w:basedOn w:val="tabelalewa"/>
    <w:rsid w:val="0021534C"/>
    <w:pPr>
      <w:spacing w:after="60"/>
    </w:pPr>
  </w:style>
  <w:style w:type="character" w:customStyle="1" w:styleId="tabelalewaZnak">
    <w:name w:val="tabela lewa Znak"/>
    <w:link w:val="tabelalewa"/>
    <w:rsid w:val="0021534C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unktowanieok">
    <w:name w:val="tabela punktowanie ok"/>
    <w:basedOn w:val="tabelalewa"/>
    <w:rsid w:val="0021534C"/>
    <w:pPr>
      <w:numPr>
        <w:numId w:val="1"/>
      </w:numPr>
      <w:tabs>
        <w:tab w:val="clear" w:pos="0"/>
        <w:tab w:val="num" w:pos="360"/>
      </w:tabs>
      <w:ind w:left="0" w:firstLine="0"/>
    </w:pPr>
  </w:style>
  <w:style w:type="paragraph" w:styleId="Akapitzlist">
    <w:name w:val="List Paragraph"/>
    <w:basedOn w:val="Normalny"/>
    <w:link w:val="AkapitzlistZnak"/>
    <w:qFormat/>
    <w:rsid w:val="0021534C"/>
    <w:pPr>
      <w:ind w:left="720"/>
      <w:contextualSpacing/>
    </w:pPr>
  </w:style>
  <w:style w:type="paragraph" w:customStyle="1" w:styleId="calibri9przed3po3">
    <w:name w:val="calibri 9 (przed 3 po 3)"/>
    <w:basedOn w:val="Normalny"/>
    <w:rsid w:val="0021534C"/>
    <w:pPr>
      <w:spacing w:before="60" w:after="60"/>
    </w:pPr>
    <w:rPr>
      <w:rFonts w:ascii="Calibri" w:hAnsi="Calibri" w:cs="Calibri"/>
      <w:b/>
      <w:sz w:val="18"/>
      <w:szCs w:val="18"/>
      <w:lang w:val="x-none"/>
    </w:rPr>
  </w:style>
  <w:style w:type="paragraph" w:customStyle="1" w:styleId="tabelaprawa">
    <w:name w:val="tabela prawa"/>
    <w:basedOn w:val="tabelalewa"/>
    <w:qFormat/>
    <w:rsid w:val="0021534C"/>
    <w:pPr>
      <w:jc w:val="right"/>
    </w:pPr>
    <w:rPr>
      <w:b/>
    </w:rPr>
  </w:style>
  <w:style w:type="character" w:customStyle="1" w:styleId="AkapitzlistZnak">
    <w:name w:val="Akapit z listą Znak"/>
    <w:link w:val="Akapitzlist"/>
    <w:locked/>
    <w:rsid w:val="00AD3C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2017-12-13T21:59:00Z</dcterms:created>
  <dcterms:modified xsi:type="dcterms:W3CDTF">2017-12-16T21:16:00Z</dcterms:modified>
</cp:coreProperties>
</file>