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63" w:rsidRDefault="00B926B0" w:rsidP="00B446E5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Biologia klasy drugie technikum</w:t>
      </w:r>
      <w:r w:rsidR="00F17474">
        <w:rPr>
          <w:rFonts w:cs="Humanist521PL-Bold"/>
          <w:b/>
          <w:bCs/>
          <w:sz w:val="26"/>
          <w:szCs w:val="26"/>
        </w:rPr>
        <w:t xml:space="preserve"> - w</w:t>
      </w:r>
      <w:r w:rsidR="00604A88">
        <w:rPr>
          <w:rFonts w:cs="Humanist521PL-Bold"/>
          <w:b/>
          <w:bCs/>
          <w:sz w:val="26"/>
          <w:szCs w:val="26"/>
        </w:rPr>
        <w:t>ymagania edukacyjne</w:t>
      </w:r>
    </w:p>
    <w:p w:rsidR="00EF6463" w:rsidRPr="00EF6463" w:rsidRDefault="00EF6463" w:rsidP="00B446E5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16"/>
          <w:szCs w:val="16"/>
        </w:rPr>
      </w:pPr>
    </w:p>
    <w:p w:rsidR="00604A88" w:rsidRPr="00B926B0" w:rsidRDefault="00604A88" w:rsidP="00B446E5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>z</w:t>
      </w:r>
      <w:r w:rsidRPr="00604A88">
        <w:rPr>
          <w:rFonts w:eastAsia="CenturySchoolbookPL-Roman" w:cs="CenturySchoolbookPL-Roman"/>
        </w:rPr>
        <w:t xml:space="preserve">awierają  szczegółowy wykaz wiadomości i umiejętności, które uczeń powinien opanować po omówieniu poszczególnych lekcji z podręcznika </w:t>
      </w:r>
      <w:r w:rsidRPr="001731B8">
        <w:rPr>
          <w:rFonts w:eastAsia="CenturySchoolbookPL-Roman" w:cs="CenturySchoolbookPL-Roman"/>
          <w:i/>
        </w:rPr>
        <w:t>Biologia na czasie – zakres podstawowy</w:t>
      </w:r>
      <w:r w:rsidRPr="00604A88">
        <w:rPr>
          <w:rFonts w:eastAsia="CenturySchoolbookPL-Roman" w:cs="CenturySchoolbookPL-Roman"/>
        </w:rPr>
        <w:t xml:space="preserve">. </w:t>
      </w:r>
      <w:r w:rsidR="001731B8">
        <w:rPr>
          <w:rFonts w:eastAsia="CenturySchoolbookPL-Roman" w:cs="CenturySchoolbookPL-Roman"/>
        </w:rPr>
        <w:t>Jest on</w:t>
      </w:r>
      <w:r>
        <w:rPr>
          <w:rFonts w:eastAsia="CenturySchoolbookPL-Roman" w:cs="CenturySchoolbookPL-Roman"/>
        </w:rPr>
        <w:t xml:space="preserve"> </w:t>
      </w:r>
      <w:r w:rsidRPr="00604A88">
        <w:rPr>
          <w:rFonts w:eastAsia="CenturySchoolbookPL-Roman" w:cs="CenturySchoolbookPL-Roman"/>
        </w:rPr>
        <w:t>niezastąpion</w:t>
      </w:r>
      <w:r w:rsidR="001731B8">
        <w:rPr>
          <w:rFonts w:eastAsia="CenturySchoolbookPL-Roman" w:cs="CenturySchoolbookPL-Roman"/>
        </w:rPr>
        <w:t>y</w:t>
      </w:r>
      <w:r w:rsidRPr="00604A88">
        <w:rPr>
          <w:rFonts w:eastAsia="CenturySchoolbookPL-Roman" w:cs="CenturySchoolbookPL-Roman"/>
        </w:rPr>
        <w:t xml:space="preserve"> przy obiektywnej ocenie postępów ucznia w nauce.</w:t>
      </w:r>
    </w:p>
    <w:p w:rsidR="00B446E5" w:rsidRDefault="00B446E5" w:rsidP="00B446E5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>
        <w:rPr>
          <w:rFonts w:cs="Humanist521PL-Bold"/>
          <w:b/>
          <w:bCs/>
          <w:sz w:val="26"/>
          <w:szCs w:val="26"/>
        </w:rPr>
        <w:t>Poziomy oczekiwanych osiągnięć ucznia</w:t>
      </w:r>
    </w:p>
    <w:p w:rsidR="00EF6463" w:rsidRPr="00EF6463" w:rsidRDefault="00EF6463" w:rsidP="00B446E5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46E5" w:rsidRPr="00E82B4F" w:rsidTr="00E82B4F">
        <w:tc>
          <w:tcPr>
            <w:tcW w:w="4606" w:type="dxa"/>
            <w:vAlign w:val="center"/>
          </w:tcPr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Wymagania podstawowe</w:t>
            </w:r>
          </w:p>
        </w:tc>
        <w:tc>
          <w:tcPr>
            <w:tcW w:w="4606" w:type="dxa"/>
            <w:vAlign w:val="center"/>
          </w:tcPr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Wymagania ponadpodstawowe</w:t>
            </w:r>
          </w:p>
        </w:tc>
      </w:tr>
      <w:tr w:rsidR="00B446E5" w:rsidRPr="00E82B4F" w:rsidTr="00E82B4F">
        <w:tc>
          <w:tcPr>
            <w:tcW w:w="4606" w:type="dxa"/>
            <w:vAlign w:val="center"/>
          </w:tcPr>
          <w:p w:rsidR="00B446E5" w:rsidRPr="00E82B4F" w:rsidRDefault="00E824FF" w:rsidP="00E8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k</w:t>
            </w:r>
            <w:r w:rsidR="00B446E5" w:rsidRPr="00E82B4F">
              <w:rPr>
                <w:rFonts w:cs="Humanist521PL-Bold"/>
                <w:b/>
                <w:bCs/>
              </w:rPr>
              <w:t>onieczne (na stopień dopuszczający)</w:t>
            </w:r>
          </w:p>
          <w:p w:rsidR="00B446E5" w:rsidRPr="00E82B4F" w:rsidRDefault="00E824FF" w:rsidP="00E8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p</w:t>
            </w:r>
            <w:r w:rsidR="00B446E5" w:rsidRPr="00E82B4F">
              <w:rPr>
                <w:rFonts w:cs="Humanist521PL-Bold"/>
                <w:b/>
                <w:bCs/>
              </w:rPr>
              <w:t>odstawowe (na stopień dostateczny)</w:t>
            </w:r>
          </w:p>
        </w:tc>
        <w:tc>
          <w:tcPr>
            <w:tcW w:w="4606" w:type="dxa"/>
            <w:vAlign w:val="center"/>
          </w:tcPr>
          <w:p w:rsidR="00B446E5" w:rsidRPr="00E82B4F" w:rsidRDefault="00E824FF" w:rsidP="00E8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r</w:t>
            </w:r>
            <w:r w:rsidR="00B446E5" w:rsidRPr="00E82B4F">
              <w:rPr>
                <w:rFonts w:cs="Humanist521PL-Bold"/>
                <w:b/>
                <w:bCs/>
              </w:rPr>
              <w:t>ozszerzające (na stopień dobry)</w:t>
            </w:r>
          </w:p>
          <w:p w:rsidR="00B446E5" w:rsidRPr="00E82B4F" w:rsidRDefault="00E824FF" w:rsidP="00E8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d</w:t>
            </w:r>
            <w:r w:rsidR="00B446E5" w:rsidRPr="00E82B4F">
              <w:rPr>
                <w:rFonts w:cs="Humanist521PL-Bold"/>
                <w:b/>
                <w:bCs/>
              </w:rPr>
              <w:t>opełniające (na stopień bardzo dobry)</w:t>
            </w:r>
          </w:p>
        </w:tc>
      </w:tr>
      <w:tr w:rsidR="00B446E5" w:rsidRPr="00E82B4F" w:rsidTr="00E82B4F">
        <w:tc>
          <w:tcPr>
            <w:tcW w:w="4606" w:type="dxa"/>
            <w:tcBorders>
              <w:bottom w:val="single" w:sz="8" w:space="0" w:color="auto"/>
            </w:tcBorders>
            <w:vAlign w:val="center"/>
          </w:tcPr>
          <w:p w:rsidR="00B446E5" w:rsidRPr="00E82B4F" w:rsidRDefault="00E824FF" w:rsidP="00E8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o</w:t>
            </w:r>
            <w:r w:rsidR="00B446E5" w:rsidRPr="00E82B4F">
              <w:rPr>
                <w:rFonts w:cs="Humanist521PL-Bold"/>
                <w:b/>
                <w:bCs/>
              </w:rPr>
              <w:t>bejmują treści i umiejętności</w:t>
            </w:r>
          </w:p>
        </w:tc>
        <w:tc>
          <w:tcPr>
            <w:tcW w:w="4606" w:type="dxa"/>
            <w:tcBorders>
              <w:bottom w:val="single" w:sz="8" w:space="0" w:color="auto"/>
            </w:tcBorders>
            <w:vAlign w:val="center"/>
          </w:tcPr>
          <w:p w:rsidR="00B446E5" w:rsidRPr="00E82B4F" w:rsidRDefault="00E824FF" w:rsidP="00E8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umanist521PL-Bold"/>
                <w:b/>
                <w:bCs/>
              </w:rPr>
            </w:pPr>
            <w:r w:rsidRPr="00E82B4F">
              <w:rPr>
                <w:rFonts w:cs="Humanist521PL-Bold"/>
                <w:b/>
                <w:bCs/>
              </w:rPr>
              <w:t>o</w:t>
            </w:r>
            <w:r w:rsidR="00B446E5" w:rsidRPr="00E82B4F">
              <w:rPr>
                <w:rFonts w:cs="Humanist521PL-Bold"/>
                <w:b/>
                <w:bCs/>
              </w:rPr>
              <w:t>bejmują treści i umiejętności</w:t>
            </w:r>
          </w:p>
        </w:tc>
      </w:tr>
      <w:tr w:rsidR="00B446E5" w:rsidRPr="00E82B4F" w:rsidTr="00E82B4F"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najważniejsze w uczeniu się biologii</w:t>
            </w:r>
          </w:p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</w:p>
        </w:tc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p w:rsidR="00B446E5" w:rsidRPr="00E82B4F" w:rsidRDefault="00666FCE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złożone i mniej przystępne niż zaliczone do wymagań podstawowych</w:t>
            </w:r>
          </w:p>
        </w:tc>
      </w:tr>
      <w:tr w:rsidR="00B446E5" w:rsidRPr="00E82B4F" w:rsidTr="00E82B4F">
        <w:tc>
          <w:tcPr>
            <w:tcW w:w="4606" w:type="dxa"/>
            <w:vAlign w:val="center"/>
          </w:tcPr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łatwe dla ucznia nawet mało zdolnego</w:t>
            </w:r>
          </w:p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</w:p>
        </w:tc>
        <w:tc>
          <w:tcPr>
            <w:tcW w:w="4606" w:type="dxa"/>
            <w:vAlign w:val="center"/>
          </w:tcPr>
          <w:p w:rsidR="00B446E5" w:rsidRPr="00E82B4F" w:rsidRDefault="00666FCE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wymagające korzystania z różnych źródeł informacji</w:t>
            </w:r>
          </w:p>
        </w:tc>
      </w:tr>
      <w:tr w:rsidR="00B446E5" w:rsidRPr="00E82B4F" w:rsidTr="00E82B4F">
        <w:tc>
          <w:tcPr>
            <w:tcW w:w="4606" w:type="dxa"/>
            <w:vAlign w:val="center"/>
          </w:tcPr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często powtarzające się w procesie nauczania</w:t>
            </w:r>
          </w:p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</w:p>
        </w:tc>
        <w:tc>
          <w:tcPr>
            <w:tcW w:w="4606" w:type="dxa"/>
            <w:vAlign w:val="center"/>
          </w:tcPr>
          <w:p w:rsidR="00B446E5" w:rsidRPr="00E82B4F" w:rsidRDefault="006948D8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umożliwiające rozwiązywanie problemów</w:t>
            </w:r>
          </w:p>
        </w:tc>
      </w:tr>
      <w:tr w:rsidR="00B446E5" w:rsidRPr="00E82B4F" w:rsidTr="00E82B4F">
        <w:tc>
          <w:tcPr>
            <w:tcW w:w="4606" w:type="dxa"/>
            <w:vAlign w:val="center"/>
          </w:tcPr>
          <w:p w:rsidR="00B446E5" w:rsidRPr="00E82B4F" w:rsidRDefault="00B446E5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="00666FCE" w:rsidRPr="00E82B4F">
              <w:rPr>
                <w:rFonts w:cs="Humanist521PL-Bold"/>
                <w:bCs/>
              </w:rPr>
              <w:t xml:space="preserve"> określone programem nauczania na poziomie nieprzekraczającym wymagań zawartych w podstawie programowej</w:t>
            </w:r>
          </w:p>
        </w:tc>
        <w:tc>
          <w:tcPr>
            <w:tcW w:w="4606" w:type="dxa"/>
            <w:vAlign w:val="center"/>
          </w:tcPr>
          <w:p w:rsidR="00B446E5" w:rsidRPr="00E82B4F" w:rsidRDefault="006948D8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pośrednio użyteczne w życiu pozaszkolnym</w:t>
            </w:r>
          </w:p>
        </w:tc>
      </w:tr>
      <w:tr w:rsidR="00B446E5" w:rsidRPr="00E82B4F" w:rsidTr="00E82B4F">
        <w:tc>
          <w:tcPr>
            <w:tcW w:w="4606" w:type="dxa"/>
            <w:vAlign w:val="center"/>
          </w:tcPr>
          <w:p w:rsidR="00B446E5" w:rsidRPr="00E82B4F" w:rsidRDefault="00666FCE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użyteczne w życiu codziennym</w:t>
            </w:r>
          </w:p>
          <w:p w:rsidR="00666FCE" w:rsidRPr="00E82B4F" w:rsidRDefault="00666FCE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</w:p>
        </w:tc>
        <w:tc>
          <w:tcPr>
            <w:tcW w:w="4606" w:type="dxa"/>
            <w:vAlign w:val="center"/>
          </w:tcPr>
          <w:p w:rsidR="00B446E5" w:rsidRPr="00E82B4F" w:rsidRDefault="006948D8" w:rsidP="00E82B4F">
            <w:pPr>
              <w:autoSpaceDE w:val="0"/>
              <w:autoSpaceDN w:val="0"/>
              <w:adjustRightInd w:val="0"/>
              <w:spacing w:after="0" w:line="240" w:lineRule="auto"/>
              <w:rPr>
                <w:rFonts w:cs="Humanist521PL-Bold"/>
                <w:bCs/>
              </w:rPr>
            </w:pPr>
            <w:r w:rsidRPr="00E82B4F">
              <w:rPr>
                <w:rFonts w:cs="Humanist521PL-Bold"/>
                <w:bCs/>
              </w:rPr>
              <w:sym w:font="Wingdings 2" w:char="F096"/>
            </w:r>
            <w:r w:rsidRPr="00E82B4F">
              <w:rPr>
                <w:rFonts w:cs="Humanist521PL-Bold"/>
                <w:bCs/>
              </w:rPr>
              <w:t xml:space="preserve"> pozwalające łączyć wiedzę z różnych przedmiotów i dziedzin</w:t>
            </w:r>
          </w:p>
        </w:tc>
      </w:tr>
    </w:tbl>
    <w:p w:rsidR="00B446E5" w:rsidRDefault="00B446E5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  <w:color w:val="9AFF00"/>
        </w:rPr>
      </w:pPr>
    </w:p>
    <w:p w:rsidR="00B446E5" w:rsidRDefault="00B446E5" w:rsidP="00C45E9F">
      <w:pPr>
        <w:autoSpaceDE w:val="0"/>
        <w:autoSpaceDN w:val="0"/>
        <w:adjustRightInd w:val="0"/>
        <w:spacing w:after="0" w:line="240" w:lineRule="auto"/>
        <w:rPr>
          <w:rFonts w:cs="Humanist521PL-Bold"/>
          <w:b/>
          <w:bCs/>
          <w:sz w:val="26"/>
          <w:szCs w:val="26"/>
        </w:rPr>
      </w:pPr>
      <w:r w:rsidRPr="00B446E5">
        <w:rPr>
          <w:rFonts w:cs="Humanist521PL-Bold"/>
          <w:b/>
          <w:bCs/>
          <w:sz w:val="26"/>
          <w:szCs w:val="26"/>
        </w:rPr>
        <w:t>Stopnie szkolne</w:t>
      </w:r>
    </w:p>
    <w:p w:rsidR="00EF6463" w:rsidRPr="00EF6463" w:rsidRDefault="00EF6463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  <w:color w:val="9AFF00"/>
          <w:sz w:val="16"/>
          <w:szCs w:val="16"/>
        </w:rPr>
      </w:pP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dopuszczający</w:t>
      </w:r>
    </w:p>
    <w:p w:rsidR="00FF11E2" w:rsidRDefault="0067312A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>
        <w:rPr>
          <w:rFonts w:eastAsia="CenturySchoolbookPL-Roman" w:cs="CenturySchoolbookPL-Roman"/>
        </w:rPr>
        <w:t>S</w:t>
      </w:r>
      <w:r w:rsidR="00C45E9F" w:rsidRPr="00B446E5">
        <w:rPr>
          <w:rFonts w:eastAsia="CenturySchoolbookPL-Roman" w:cs="CenturySchoolbookPL-Roman"/>
        </w:rPr>
        <w:t>top</w:t>
      </w:r>
      <w:r>
        <w:rPr>
          <w:rFonts w:eastAsia="CenturySchoolbookPL-Roman" w:cs="CenturySchoolbookPL-Roman"/>
        </w:rPr>
        <w:t xml:space="preserve">ień dopuszczający można wystawić uczniowi, który przyswoił treści konieczne. </w:t>
      </w:r>
      <w:r w:rsidR="00C45E9F" w:rsidRPr="00B446E5">
        <w:rPr>
          <w:rFonts w:eastAsia="CenturySchoolbookPL-Roman" w:cs="CenturySchoolbookPL-Roman"/>
        </w:rPr>
        <w:t xml:space="preserve">Taki uczeń </w:t>
      </w: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B446E5">
        <w:rPr>
          <w:rFonts w:eastAsia="CenturySchoolbookPL-Roman" w:cs="CenturySchoolbookPL-Roman"/>
        </w:rPr>
        <w:t>z pomocą nauczyciela jest w stanie nadrobić braki w podstawowych umiejętnościach.</w:t>
      </w: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dostateczny</w:t>
      </w: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BF57DA">
        <w:rPr>
          <w:rFonts w:eastAsia="CenturySchoolbookPL-Roman" w:cs="CenturySchoolbookPL-Roman"/>
        </w:rPr>
        <w:t>Stopień</w:t>
      </w:r>
      <w:r w:rsidRPr="00B446E5">
        <w:rPr>
          <w:rFonts w:eastAsia="CenturySchoolbookPL-Roman" w:cs="CenturySchoolbookPL-Roman"/>
        </w:rPr>
        <w:t xml:space="preserve"> dostateczny może otrzymać uczeń, który opanował wiadomości podstawowe i z niewielką pomocą nauczyciela potrafi rozwiązać podstawowe problemy. Analizuje również proste zależności, a także próbuje porównywać, wnioskować i zajmować określone stanowisko.</w:t>
      </w: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dobry</w:t>
      </w:r>
    </w:p>
    <w:p w:rsidR="00FF11E2" w:rsidRDefault="00C45E9F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B446E5">
        <w:rPr>
          <w:rFonts w:eastAsia="CenturySchoolbookPL-Roman" w:cs="CenturySchoolbookPL-Roman"/>
        </w:rPr>
        <w:t>Stopień dobry można wystawić uczniowi, który przyswoił treści rozszerzające, właściwie stosuje</w:t>
      </w:r>
      <w:r w:rsidR="00BF57DA"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>terminologię przedmiotow</w:t>
      </w:r>
      <w:r w:rsidR="00BF57DA">
        <w:rPr>
          <w:rFonts w:eastAsia="CenturySchoolbookPL-Roman" w:cs="CenturySchoolbookPL-Roman"/>
        </w:rPr>
        <w:t>ą</w:t>
      </w:r>
      <w:r w:rsidR="00CE3A9F">
        <w:rPr>
          <w:rFonts w:eastAsia="CenturySchoolbookPL-Roman" w:cs="CenturySchoolbookPL-Roman"/>
        </w:rPr>
        <w:t xml:space="preserve">, a także </w:t>
      </w:r>
      <w:r w:rsidRPr="00B446E5">
        <w:rPr>
          <w:rFonts w:eastAsia="CenturySchoolbookPL-Roman" w:cs="CenturySchoolbookPL-Roman"/>
        </w:rPr>
        <w:t xml:space="preserve">wiadomości w sytuacjach typowych wg wzorów znanych z lekcji </w:t>
      </w:r>
    </w:p>
    <w:p w:rsidR="00E82B4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B446E5">
        <w:rPr>
          <w:rFonts w:eastAsia="CenturySchoolbookPL-Roman" w:cs="CenturySchoolbookPL-Roman"/>
        </w:rPr>
        <w:t>i podręcznika, rozwiązuje</w:t>
      </w:r>
      <w:r w:rsidR="00723FC1">
        <w:rPr>
          <w:rFonts w:eastAsia="CenturySchoolbookPL-Roman" w:cs="CenturySchoolbookPL-Roman"/>
        </w:rPr>
        <w:t xml:space="preserve"> typowe problemy z </w:t>
      </w:r>
      <w:r w:rsidRPr="00B446E5">
        <w:rPr>
          <w:rFonts w:eastAsia="CenturySchoolbookPL-Roman" w:cs="CenturySchoolbookPL-Roman"/>
        </w:rPr>
        <w:t>wykorzystaniem poznanych metod</w:t>
      </w:r>
      <w:r w:rsidR="00CE3A9F">
        <w:rPr>
          <w:rFonts w:eastAsia="CenturySchoolbookPL-Roman" w:cs="CenturySchoolbookPL-Roman"/>
        </w:rPr>
        <w:t xml:space="preserve">, </w:t>
      </w:r>
      <w:r w:rsidRPr="00B446E5">
        <w:rPr>
          <w:rFonts w:eastAsia="CenturySchoolbookPL-Roman" w:cs="CenturySchoolbookPL-Roman"/>
        </w:rPr>
        <w:t>samodzielnie pracuje z podręcznikiem i materiał</w:t>
      </w:r>
      <w:r w:rsidR="00CE3A9F">
        <w:rPr>
          <w:rFonts w:eastAsia="CenturySchoolbookPL-Roman" w:cs="CenturySchoolbookPL-Roman"/>
        </w:rPr>
        <w:t xml:space="preserve">em źródłowym oraz </w:t>
      </w:r>
      <w:r w:rsidR="00CE3A9F" w:rsidRPr="00B446E5">
        <w:rPr>
          <w:rFonts w:eastAsia="CenturySchoolbookPL-Roman" w:cs="CenturySchoolbookPL-Roman"/>
        </w:rPr>
        <w:t>aktywnie uczestniczy w zajęciach</w:t>
      </w:r>
      <w:r w:rsidRPr="00B446E5">
        <w:rPr>
          <w:rFonts w:eastAsia="CenturySchoolbookPL-Roman" w:cs="CenturySchoolbookPL-Roman"/>
        </w:rPr>
        <w:t>.</w:t>
      </w: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</w:p>
    <w:p w:rsidR="00C45E9F" w:rsidRPr="00B446E5" w:rsidRDefault="00C45E9F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bardzo dobry</w:t>
      </w:r>
    </w:p>
    <w:p w:rsidR="00C45E9F" w:rsidRPr="00B446E5" w:rsidRDefault="00BF57DA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</w:rPr>
      </w:pPr>
      <w:r w:rsidRPr="00CE3A9F">
        <w:rPr>
          <w:rFonts w:eastAsia="CenturySchoolbookPL-Roman" w:cs="CenturySchoolbookPL-Roman"/>
        </w:rPr>
        <w:t xml:space="preserve">Stopień bardzo dobry </w:t>
      </w:r>
      <w:r w:rsidR="00C45E9F" w:rsidRPr="00CE3A9F">
        <w:rPr>
          <w:rFonts w:eastAsia="CenturySchoolbookPL-Roman" w:cs="CenturySchoolbookPL-Roman"/>
        </w:rPr>
        <w:t xml:space="preserve">może otrzymać </w:t>
      </w:r>
      <w:r w:rsidRPr="00CE3A9F">
        <w:rPr>
          <w:rFonts w:eastAsia="CenturySchoolbookPL-Roman" w:cs="CenturySchoolbookPL-Roman"/>
        </w:rPr>
        <w:t xml:space="preserve">uczeń, który </w:t>
      </w:r>
      <w:r w:rsidR="00C45E9F" w:rsidRPr="00CE3A9F">
        <w:rPr>
          <w:rFonts w:eastAsia="CenturySchoolbookPL-Roman" w:cs="CenturySchoolbookPL-Roman"/>
        </w:rPr>
        <w:t xml:space="preserve">opanował treści dopełniające. </w:t>
      </w:r>
      <w:r w:rsidR="00510723" w:rsidRPr="00CE3A9F">
        <w:rPr>
          <w:rFonts w:eastAsia="CenturySchoolbookPL-Roman" w:cs="CenturySchoolbookPL-Roman"/>
        </w:rPr>
        <w:t>P</w:t>
      </w:r>
      <w:r w:rsidR="00C45E9F" w:rsidRPr="00CE3A9F">
        <w:rPr>
          <w:rFonts w:eastAsia="CenturySchoolbookPL-Roman" w:cs="CenturySchoolbookPL-Roman"/>
        </w:rPr>
        <w:t>otrafi</w:t>
      </w:r>
      <w:r w:rsidR="00C45E9F" w:rsidRPr="00B446E5">
        <w:rPr>
          <w:rFonts w:eastAsia="CenturySchoolbookPL-Roman" w:cs="CenturySchoolbookPL-Roman"/>
        </w:rPr>
        <w:t xml:space="preserve"> </w:t>
      </w:r>
      <w:r w:rsidR="00510723">
        <w:rPr>
          <w:rFonts w:eastAsia="CenturySchoolbookPL-Roman" w:cs="CenturySchoolbookPL-Roman"/>
        </w:rPr>
        <w:t xml:space="preserve">on </w:t>
      </w:r>
      <w:r w:rsidR="00C45E9F" w:rsidRPr="00B446E5">
        <w:rPr>
          <w:rFonts w:eastAsia="CenturySchoolbookPL-Roman" w:cs="CenturySchoolbookPL-Roman"/>
        </w:rPr>
        <w:t>samodzielnie interpretować zjawiska oraz bronić swych poglądów.</w:t>
      </w:r>
    </w:p>
    <w:p w:rsidR="00B446E5" w:rsidRPr="00B446E5" w:rsidRDefault="00B446E5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</w:p>
    <w:p w:rsidR="00C45E9F" w:rsidRPr="00B446E5" w:rsidRDefault="00B446E5" w:rsidP="00C45E9F">
      <w:pPr>
        <w:autoSpaceDE w:val="0"/>
        <w:autoSpaceDN w:val="0"/>
        <w:adjustRightInd w:val="0"/>
        <w:spacing w:after="0" w:line="240" w:lineRule="auto"/>
        <w:rPr>
          <w:rFonts w:cs="Humanist521PL-BoldItalic"/>
          <w:b/>
          <w:bCs/>
          <w:i/>
          <w:iCs/>
        </w:rPr>
      </w:pPr>
      <w:r w:rsidRPr="00B446E5">
        <w:rPr>
          <w:rFonts w:cs="Humanist521PL-BoldItalic"/>
          <w:b/>
          <w:bCs/>
          <w:i/>
          <w:iCs/>
        </w:rPr>
        <w:t>Stopień celują</w:t>
      </w:r>
      <w:r w:rsidR="00C45E9F" w:rsidRPr="00B446E5">
        <w:rPr>
          <w:rFonts w:cs="Humanist521PL-BoldItalic"/>
          <w:b/>
          <w:bCs/>
          <w:i/>
          <w:iCs/>
        </w:rPr>
        <w:t>cy</w:t>
      </w:r>
    </w:p>
    <w:p w:rsidR="002665EE" w:rsidRDefault="00B446E5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  <w:color w:val="000000"/>
        </w:rPr>
      </w:pPr>
      <w:r w:rsidRPr="00B446E5">
        <w:rPr>
          <w:rFonts w:eastAsia="CenturySchoolbookPL-Roman" w:cs="CenturySchoolbookPL-Roman"/>
        </w:rPr>
        <w:t>Stopień</w:t>
      </w:r>
      <w:r w:rsidR="00C45E9F" w:rsidRPr="00B446E5"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>celujący</w:t>
      </w:r>
      <w:r w:rsidR="00C45E9F" w:rsidRPr="00B446E5">
        <w:rPr>
          <w:rFonts w:eastAsia="CenturySchoolbookPL-Roman" w:cs="CenturySchoolbookPL-Roman"/>
        </w:rPr>
        <w:t xml:space="preserve"> mo</w:t>
      </w:r>
      <w:r w:rsidRPr="00B446E5">
        <w:rPr>
          <w:rFonts w:eastAsia="CenturySchoolbookPL-Roman" w:cs="CenturySchoolbookPL-Roman"/>
        </w:rPr>
        <w:t>ż</w:t>
      </w:r>
      <w:r w:rsidR="00C45E9F" w:rsidRPr="00B446E5">
        <w:rPr>
          <w:rFonts w:eastAsia="CenturySchoolbookPL-Roman" w:cs="CenturySchoolbookPL-Roman"/>
        </w:rPr>
        <w:t xml:space="preserve">e </w:t>
      </w:r>
      <w:r w:rsidRPr="00B446E5">
        <w:rPr>
          <w:rFonts w:eastAsia="CenturySchoolbookPL-Roman" w:cs="CenturySchoolbookPL-Roman"/>
        </w:rPr>
        <w:t>otrzymać</w:t>
      </w:r>
      <w:r w:rsidR="00C45E9F" w:rsidRPr="00B446E5"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>uczeń</w:t>
      </w:r>
      <w:r w:rsidR="00C45E9F" w:rsidRPr="00B446E5">
        <w:rPr>
          <w:rFonts w:eastAsia="CenturySchoolbookPL-Roman" w:cs="CenturySchoolbookPL-Roman"/>
        </w:rPr>
        <w:t xml:space="preserve">, </w:t>
      </w:r>
      <w:r w:rsidRPr="00B446E5">
        <w:rPr>
          <w:rFonts w:eastAsia="CenturySchoolbookPL-Roman" w:cs="CenturySchoolbookPL-Roman"/>
        </w:rPr>
        <w:t>który</w:t>
      </w:r>
      <w:r w:rsidR="00C45E9F" w:rsidRPr="00B446E5"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>opanował treści</w:t>
      </w:r>
      <w:r w:rsidR="00C45E9F" w:rsidRPr="00B446E5"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>wykraczające</w:t>
      </w:r>
      <w:r w:rsidR="00C45E9F" w:rsidRPr="00B446E5">
        <w:rPr>
          <w:rFonts w:eastAsia="CenturySchoolbookPL-Roman" w:cs="CenturySchoolbookPL-Roman"/>
        </w:rPr>
        <w:t xml:space="preserve"> poza informacje zawarte</w:t>
      </w:r>
      <w:r w:rsidR="00BF57DA">
        <w:rPr>
          <w:rFonts w:eastAsia="CenturySchoolbookPL-Roman" w:cs="CenturySchoolbookPL-Roman"/>
        </w:rPr>
        <w:t xml:space="preserve"> </w:t>
      </w:r>
      <w:r w:rsidR="00C45E9F" w:rsidRPr="00B446E5">
        <w:rPr>
          <w:rFonts w:eastAsia="CenturySchoolbookPL-Roman" w:cs="CenturySchoolbookPL-Roman"/>
        </w:rPr>
        <w:t xml:space="preserve">w </w:t>
      </w:r>
      <w:r w:rsidRPr="00B446E5">
        <w:rPr>
          <w:rFonts w:eastAsia="CenturySchoolbookPL-Roman" w:cs="CenturySchoolbookPL-Roman"/>
        </w:rPr>
        <w:t>podręczniku</w:t>
      </w:r>
      <w:r w:rsidR="00C45E9F" w:rsidRPr="00B446E5">
        <w:rPr>
          <w:rFonts w:eastAsia="CenturySchoolbookPL-Roman" w:cs="CenturySchoolbookPL-Roman"/>
        </w:rPr>
        <w:t xml:space="preserve">. </w:t>
      </w:r>
      <w:r w:rsidR="00510723">
        <w:rPr>
          <w:rFonts w:eastAsia="CenturySchoolbookPL-Roman" w:cs="CenturySchoolbookPL-Roman"/>
        </w:rPr>
        <w:t>P</w:t>
      </w:r>
      <w:r w:rsidR="00C45E9F" w:rsidRPr="00B446E5">
        <w:rPr>
          <w:rFonts w:eastAsia="CenturySchoolbookPL-Roman" w:cs="CenturySchoolbookPL-Roman"/>
        </w:rPr>
        <w:t>otrafi</w:t>
      </w:r>
      <w:r w:rsidR="00510723">
        <w:rPr>
          <w:rFonts w:eastAsia="CenturySchoolbookPL-Roman" w:cs="CenturySchoolbookPL-Roman"/>
        </w:rPr>
        <w:t xml:space="preserve"> on</w:t>
      </w:r>
      <w:r w:rsidR="00C45E9F" w:rsidRPr="00B446E5"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>selekcjonować</w:t>
      </w:r>
      <w:r w:rsidR="00C45E9F" w:rsidRPr="00B446E5">
        <w:rPr>
          <w:rFonts w:eastAsia="CenturySchoolbookPL-Roman" w:cs="CenturySchoolbookPL-Roman"/>
        </w:rPr>
        <w:t xml:space="preserve"> i </w:t>
      </w:r>
      <w:r w:rsidRPr="00B446E5">
        <w:rPr>
          <w:rFonts w:eastAsia="CenturySchoolbookPL-Roman" w:cs="CenturySchoolbookPL-Roman"/>
        </w:rPr>
        <w:t>hierarchizować wiadomości</w:t>
      </w:r>
      <w:r w:rsidR="00CE3A9F">
        <w:rPr>
          <w:rFonts w:eastAsia="CenturySchoolbookPL-Roman" w:cs="CenturySchoolbookPL-Roman"/>
        </w:rPr>
        <w:t>,</w:t>
      </w:r>
      <w:r w:rsidR="00C45E9F" w:rsidRPr="00B446E5">
        <w:rPr>
          <w:rFonts w:eastAsia="CenturySchoolbookPL-Roman" w:cs="CenturySchoolbookPL-Roman"/>
        </w:rPr>
        <w:t xml:space="preserve"> z powodzeniem bierze</w:t>
      </w:r>
      <w:r w:rsidR="00BF57DA">
        <w:rPr>
          <w:rFonts w:eastAsia="CenturySchoolbookPL-Roman" w:cs="CenturySchoolbookPL-Roman"/>
        </w:rPr>
        <w:t xml:space="preserve"> </w:t>
      </w:r>
      <w:r w:rsidRPr="00B446E5">
        <w:rPr>
          <w:rFonts w:eastAsia="CenturySchoolbookPL-Roman" w:cs="CenturySchoolbookPL-Roman"/>
        </w:rPr>
        <w:t>udział</w:t>
      </w:r>
      <w:r w:rsidR="00C45E9F" w:rsidRPr="00B446E5">
        <w:rPr>
          <w:rFonts w:eastAsia="CenturySchoolbookPL-Roman" w:cs="CenturySchoolbookPL-Roman"/>
        </w:rPr>
        <w:t xml:space="preserve"> w konkursach i olimpiadach </w:t>
      </w:r>
      <w:r w:rsidR="00C45E9F" w:rsidRPr="00E46F99">
        <w:rPr>
          <w:rFonts w:eastAsia="CenturySchoolbookPL-Roman" w:cs="CenturySchoolbookPL-Roman"/>
        </w:rPr>
        <w:t>przedmiotowych</w:t>
      </w:r>
      <w:r w:rsidR="00CE3A9F" w:rsidRPr="00E46F99">
        <w:rPr>
          <w:rFonts w:eastAsia="CenturySchoolbookPL-Roman" w:cs="CenturySchoolbookPL-Roman"/>
        </w:rPr>
        <w:t>, a także p</w:t>
      </w:r>
      <w:r w:rsidR="00C45E9F" w:rsidRPr="00E46F99">
        <w:rPr>
          <w:rFonts w:eastAsia="CenturySchoolbookPL-Roman" w:cs="CenturySchoolbookPL-Roman"/>
        </w:rPr>
        <w:t xml:space="preserve">od okiem nauczyciela prowadzi </w:t>
      </w:r>
      <w:r w:rsidRPr="00E46F99">
        <w:rPr>
          <w:rFonts w:eastAsia="CenturySchoolbookPL-Roman" w:cs="CenturySchoolbookPL-Roman"/>
        </w:rPr>
        <w:t>własne</w:t>
      </w:r>
      <w:r w:rsidR="00BF57DA" w:rsidRPr="00E46F99">
        <w:rPr>
          <w:rFonts w:eastAsia="CenturySchoolbookPL-Roman" w:cs="CenturySchoolbookPL-Roman"/>
        </w:rPr>
        <w:t xml:space="preserve"> </w:t>
      </w:r>
      <w:r w:rsidR="00C45E9F" w:rsidRPr="00E46F99">
        <w:rPr>
          <w:rFonts w:eastAsia="CenturySchoolbookPL-Roman" w:cs="CenturySchoolbookPL-Roman"/>
        </w:rPr>
        <w:t>prace</w:t>
      </w:r>
      <w:r w:rsidR="00C45E9F" w:rsidRPr="00B446E5">
        <w:rPr>
          <w:rFonts w:eastAsia="CenturySchoolbookPL-Roman" w:cs="CenturySchoolbookPL-Roman"/>
        </w:rPr>
        <w:t xml:space="preserve"> badawcze</w:t>
      </w:r>
      <w:r w:rsidR="00C45E9F" w:rsidRPr="00C45E9F">
        <w:rPr>
          <w:rFonts w:eastAsia="CenturySchoolbookPL-Roman" w:cs="CenturySchoolbookPL-Roman"/>
          <w:color w:val="000000"/>
        </w:rPr>
        <w:t>.</w:t>
      </w:r>
    </w:p>
    <w:p w:rsidR="002665EE" w:rsidRDefault="002665EE">
      <w:pPr>
        <w:rPr>
          <w:rFonts w:eastAsia="CenturySchoolbookPL-Roman" w:cs="CenturySchoolbookPL-Roman"/>
          <w:color w:val="000000"/>
        </w:rPr>
        <w:sectPr w:rsidR="002665EE" w:rsidSect="002665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5EE" w:rsidRDefault="002665EE" w:rsidP="002665EE">
      <w:pPr>
        <w:rPr>
          <w:rFonts w:eastAsia="CenturySchoolbookPL-Roman" w:cs="CenturySchoolbookPL-Roman"/>
          <w:color w:val="000000"/>
        </w:rPr>
      </w:pPr>
    </w:p>
    <w:p w:rsidR="002665EE" w:rsidRDefault="002665EE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  <w:color w:val="000000"/>
        </w:rPr>
      </w:pPr>
    </w:p>
    <w:p w:rsidR="002665EE" w:rsidRPr="0012212D" w:rsidRDefault="002665EE" w:rsidP="002665EE">
      <w:pPr>
        <w:rPr>
          <w:b/>
        </w:rPr>
      </w:pPr>
      <w:r w:rsidRPr="0012212D">
        <w:rPr>
          <w:b/>
        </w:rPr>
        <w:t xml:space="preserve">Wymagania edukacyjne </w:t>
      </w:r>
      <w:r w:rsidRPr="0012212D">
        <w:rPr>
          <w:b/>
          <w:i/>
        </w:rPr>
        <w:t>Biologia na czasie</w:t>
      </w:r>
      <w:r w:rsidR="0012212D" w:rsidRPr="0012212D">
        <w:rPr>
          <w:b/>
          <w:i/>
        </w:rPr>
        <w:t xml:space="preserve"> </w:t>
      </w:r>
      <w:r w:rsidR="0012212D" w:rsidRPr="0012212D">
        <w:rPr>
          <w:rFonts w:eastAsia="CenturySchoolbookPL-Roman" w:cs="CenturySchoolbookPL-Roman"/>
          <w:b/>
          <w:i/>
        </w:rPr>
        <w:t xml:space="preserve">– </w:t>
      </w:r>
      <w:r w:rsidRPr="0012212D">
        <w:rPr>
          <w:b/>
          <w:i/>
        </w:rPr>
        <w:t>zakres podstawowy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483"/>
        <w:gridCol w:w="1827"/>
        <w:gridCol w:w="15"/>
        <w:gridCol w:w="2745"/>
        <w:gridCol w:w="90"/>
        <w:gridCol w:w="2552"/>
        <w:gridCol w:w="2835"/>
        <w:gridCol w:w="45"/>
        <w:gridCol w:w="2366"/>
        <w:gridCol w:w="30"/>
      </w:tblGrid>
      <w:tr w:rsidR="002665EE" w:rsidRPr="00E82B4F" w:rsidTr="002665EE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Dział programu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Nr lekcji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Temat</w:t>
            </w:r>
          </w:p>
        </w:tc>
        <w:tc>
          <w:tcPr>
            <w:tcW w:w="10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jc w:val="center"/>
              <w:rPr>
                <w:rFonts w:ascii="Times New Roman" w:hAnsi="Times New Roman"/>
                <w:sz w:val="24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Poziom wymagań</w:t>
            </w: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74" w:rsidRDefault="002665E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konieczny (K)</w:t>
            </w:r>
            <w:r w:rsidR="00F1747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2665EE" w:rsidRPr="00E82B4F" w:rsidRDefault="00F1747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ocena dopuszczający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74" w:rsidRDefault="002665E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podstawowy (P)</w:t>
            </w:r>
            <w:r w:rsidR="00F1747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2665EE" w:rsidRPr="00E82B4F" w:rsidRDefault="00F1747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ocena dostateczny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74" w:rsidRDefault="002665E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rozszerzający (R)</w:t>
            </w:r>
            <w:r w:rsidR="00F1747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2665EE" w:rsidRPr="00E82B4F" w:rsidRDefault="00F1747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ocena dobry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74" w:rsidRDefault="002665E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B4F">
              <w:rPr>
                <w:rFonts w:ascii="Arial" w:hAnsi="Arial" w:cs="Arial"/>
                <w:b/>
                <w:sz w:val="14"/>
                <w:szCs w:val="16"/>
              </w:rPr>
              <w:t>dopełniający (D)</w:t>
            </w:r>
            <w:r w:rsidR="00F1747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2665EE" w:rsidRPr="00E82B4F" w:rsidRDefault="00F1747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ocena bardzo dobry</w:t>
            </w:r>
          </w:p>
        </w:tc>
      </w:tr>
      <w:tr w:rsidR="002665EE" w:rsidRPr="00E82B4F" w:rsidTr="002665EE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I. Od genu do cechy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7F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>Budowa i funkcje kwasów nukleinowych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rolę DNA jako nośnika informacji genetycznej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elementy budowy DNA i RNA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zasady azotowe wchodzące w skład obu typów kwasów nukleinowych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genetyka</w:t>
            </w:r>
            <w:r w:rsidRPr="00E82B4F">
              <w:rPr>
                <w:sz w:val="20"/>
                <w:szCs w:val="20"/>
              </w:rPr>
              <w:t xml:space="preserve">, </w:t>
            </w:r>
            <w:r w:rsidRPr="00E82B4F">
              <w:rPr>
                <w:i/>
                <w:sz w:val="20"/>
                <w:szCs w:val="20"/>
              </w:rPr>
              <w:t>nukleotyd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rodzaje RNA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inżynieria genetyczna</w:t>
            </w:r>
            <w:r w:rsidRPr="00E82B4F">
              <w:rPr>
                <w:sz w:val="20"/>
                <w:szCs w:val="20"/>
              </w:rPr>
              <w:t>,</w:t>
            </w:r>
            <w:r w:rsidRPr="00E82B4F">
              <w:rPr>
                <w:i/>
                <w:sz w:val="20"/>
                <w:szCs w:val="20"/>
              </w:rPr>
              <w:t xml:space="preserve"> replikacja DNA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regułę komplementarności zasad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proces replikacji DNA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rolę poszczególnych rodzajów RNA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porównuje budowę i rolę DNA z budową i rolą RNA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rozpoznaje na modelu lub ilustracji DNA i RNA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z czego wynika komplementarność zasad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przedstawia graficznie regułę komplementarności zasad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wykazuje, że replikacja DNA ma charakter </w:t>
            </w:r>
            <w:proofErr w:type="spellStart"/>
            <w:r w:rsidRPr="00E82B4F">
              <w:rPr>
                <w:sz w:val="20"/>
                <w:szCs w:val="20"/>
              </w:rPr>
              <w:t>semikonserwatywny</w:t>
            </w:r>
            <w:proofErr w:type="spellEnd"/>
          </w:p>
          <w:p w:rsidR="002665EE" w:rsidRPr="00E82B4F" w:rsidRDefault="002665EE" w:rsidP="00574644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wykazuje związek między kwasami nukleinowymi a cechami organizmów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rolę polimerazy DNA w replikacji DNA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wykazuje rolę replikacji DNA w zachowaniu niezmienionej informacji genetycznej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konieczność zachodzenia procesu replikacji DNA przed podziałem komórki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EE" w:rsidRPr="00E82B4F" w:rsidTr="007F6C1E">
        <w:trPr>
          <w:trHeight w:val="105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7F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>Geny i genomy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gen, genom, chromosom, chrom</w:t>
            </w:r>
            <w:r w:rsidR="00574644">
              <w:rPr>
                <w:i/>
                <w:sz w:val="20"/>
                <w:szCs w:val="20"/>
              </w:rPr>
              <w:t>atyna, kariotyp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przedstawia budowę chromosomu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wymienia organelle komórki zawierające DNA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definiuje pojęcia: </w:t>
            </w:r>
            <w:proofErr w:type="spellStart"/>
            <w:r w:rsidRPr="00E82B4F">
              <w:rPr>
                <w:i/>
                <w:sz w:val="20"/>
                <w:szCs w:val="20"/>
              </w:rPr>
              <w:t>nukleosom</w:t>
            </w:r>
            <w:proofErr w:type="spellEnd"/>
            <w:r w:rsidRPr="00E82B4F">
              <w:rPr>
                <w:sz w:val="20"/>
                <w:szCs w:val="20"/>
              </w:rPr>
              <w:t xml:space="preserve">, </w:t>
            </w:r>
            <w:r w:rsidRPr="00E82B4F">
              <w:rPr>
                <w:i/>
                <w:sz w:val="20"/>
                <w:szCs w:val="20"/>
              </w:rPr>
              <w:t>chromosom homologiczny, komórka haploidalna, komórka diploidalna</w:t>
            </w:r>
          </w:p>
          <w:p w:rsidR="002665EE" w:rsidRPr="007F6C1E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liczbę </w:t>
            </w:r>
            <w:r w:rsidRPr="00E82B4F">
              <w:rPr>
                <w:sz w:val="20"/>
                <w:szCs w:val="20"/>
              </w:rPr>
              <w:lastRenderedPageBreak/>
              <w:t xml:space="preserve">chromosomów w komórkach somatycznych i rozrodczych człowieka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omawia organizację materiału genetycznego w jądrze komórkowym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wskazuje i nazywa miejsca występowania  DNA w komórkach </w:t>
            </w:r>
            <w:proofErr w:type="spellStart"/>
            <w:r w:rsidRPr="00E82B4F">
              <w:rPr>
                <w:sz w:val="20"/>
                <w:szCs w:val="20"/>
              </w:rPr>
              <w:t>prokariotycznych</w:t>
            </w:r>
            <w:proofErr w:type="spellEnd"/>
            <w:r w:rsidRPr="00E82B4F">
              <w:rPr>
                <w:sz w:val="20"/>
                <w:szCs w:val="20"/>
              </w:rPr>
              <w:t xml:space="preserve"> i </w:t>
            </w:r>
            <w:r w:rsidRPr="00E82B4F">
              <w:rPr>
                <w:sz w:val="20"/>
                <w:szCs w:val="20"/>
              </w:rPr>
              <w:lastRenderedPageBreak/>
              <w:t xml:space="preserve">eukariotycznych </w:t>
            </w:r>
          </w:p>
          <w:p w:rsidR="002665EE" w:rsidRPr="00574644" w:rsidRDefault="00574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opisuje budowę chromatyny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uzasadnia różnice w budowie genomów bakterii i organizmów jądrowych 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wykorzystania badań DNA </w:t>
            </w:r>
            <w:r w:rsidRPr="00E82B4F">
              <w:rPr>
                <w:sz w:val="20"/>
                <w:szCs w:val="20"/>
              </w:rPr>
              <w:lastRenderedPageBreak/>
              <w:t>w różnych dziedzinach życia człowieka</w:t>
            </w: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7F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Kod genetyczny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pojęcia: </w:t>
            </w:r>
            <w:r w:rsidRPr="00E82B4F">
              <w:rPr>
                <w:i/>
                <w:sz w:val="20"/>
                <w:szCs w:val="20"/>
              </w:rPr>
              <w:t xml:space="preserve">kod genetyczny, kodon </w:t>
            </w:r>
            <w:r w:rsidRPr="00E82B4F">
              <w:rPr>
                <w:sz w:val="20"/>
                <w:szCs w:val="20"/>
              </w:rPr>
              <w:t xml:space="preserve">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cechy kodu genetycznego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sposób zapisania informacji genetycznej w DNA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znaczenie kodu genetycznego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cechy kodu genetycznego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schemat przepływu informacji genetycznej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odczytuje kolejność aminokwasów kodowanych przez dany fragment mRNA przy pomocy tabeli kodu genetycznego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nazywa cechy kodu genetycznego na podstawie schematów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oblicza liczbę nukleotydów i kodonów kodujących określoną liczbę aminokwasów oraz liczbę aminokwasów kodowaną przez określoną liczbę nukleotydów i kodonów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7F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Ekspresja genów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etapy ekspresji genów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cel transkrypcji i translacji</w:t>
            </w:r>
          </w:p>
          <w:p w:rsidR="002665EE" w:rsidRPr="00E82B4F" w:rsidRDefault="002665E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przebieg transkrypcji i translacji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rolę </w:t>
            </w:r>
            <w:proofErr w:type="spellStart"/>
            <w:r w:rsidRPr="00E82B4F">
              <w:rPr>
                <w:sz w:val="20"/>
                <w:szCs w:val="20"/>
              </w:rPr>
              <w:t>tRNA</w:t>
            </w:r>
            <w:proofErr w:type="spellEnd"/>
            <w:r w:rsidRPr="00E82B4F">
              <w:rPr>
                <w:sz w:val="20"/>
                <w:szCs w:val="20"/>
              </w:rPr>
              <w:t xml:space="preserve"> w translacji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etapy ekspresji genów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wskazuje i nazywa poszczególne etapy ekspresji genów w komórce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określa znaczenie struktury przestrzennej dla funkcjonalności białek 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opisuje budowę cząsteczki </w:t>
            </w:r>
            <w:proofErr w:type="spellStart"/>
            <w:r w:rsidRPr="00E82B4F">
              <w:rPr>
                <w:sz w:val="20"/>
                <w:szCs w:val="20"/>
              </w:rPr>
              <w:t>tRNA</w:t>
            </w:r>
            <w:proofErr w:type="spellEnd"/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rolę rybosomów w ekspresji genu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modyfikacji białka po translacji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różnicę w ekspresji genów kodujących RNA i białka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rolę polimerazy RNA w transkrypcji </w:t>
            </w: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7F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Podstawowe reguły dziedziczenia </w:t>
            </w:r>
            <w:r w:rsidRPr="00E82B4F">
              <w:rPr>
                <w:sz w:val="20"/>
                <w:szCs w:val="20"/>
              </w:rPr>
              <w:lastRenderedPageBreak/>
              <w:t xml:space="preserve">genów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genotyp, fenotyp</w:t>
            </w:r>
            <w:r w:rsidRPr="00E82B4F">
              <w:rPr>
                <w:sz w:val="20"/>
                <w:szCs w:val="20"/>
              </w:rPr>
              <w:t xml:space="preserve">, </w:t>
            </w:r>
            <w:proofErr w:type="spellStart"/>
            <w:r w:rsidRPr="00E82B4F">
              <w:rPr>
                <w:i/>
                <w:sz w:val="20"/>
                <w:szCs w:val="20"/>
              </w:rPr>
              <w:t>allel</w:t>
            </w:r>
            <w:proofErr w:type="spellEnd"/>
            <w:r w:rsidRPr="00E82B4F">
              <w:rPr>
                <w:i/>
                <w:sz w:val="20"/>
                <w:szCs w:val="20"/>
              </w:rPr>
              <w:t xml:space="preserve">, homozygota, heterozygota, dominacja, </w:t>
            </w:r>
            <w:r w:rsidRPr="00E82B4F">
              <w:rPr>
                <w:i/>
                <w:sz w:val="20"/>
                <w:szCs w:val="20"/>
              </w:rPr>
              <w:lastRenderedPageBreak/>
              <w:t>recesywność</w:t>
            </w:r>
          </w:p>
          <w:p w:rsidR="002665EE" w:rsidRPr="00E82B4F" w:rsidRDefault="002665EE">
            <w:pPr>
              <w:widowControl w:val="0"/>
              <w:tabs>
                <w:tab w:val="left" w:pos="2544"/>
              </w:tabs>
              <w:autoSpaceDE w:val="0"/>
              <w:autoSpaceDN w:val="0"/>
              <w:adjustRightInd w:val="0"/>
              <w:spacing w:before="1"/>
              <w:ind w:left="215" w:hanging="13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i rozpoznaje cechy dominujące i recesywne u ludzi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zapisuje genotypy: homozygoty dominującej, homozygoty recesywnej i heterozygoty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wykazuje zależność między genotypem a fenotypem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omawia I </w:t>
            </w:r>
            <w:proofErr w:type="spellStart"/>
            <w:r w:rsidRPr="00E82B4F">
              <w:rPr>
                <w:sz w:val="20"/>
                <w:szCs w:val="20"/>
              </w:rPr>
              <w:t>i</w:t>
            </w:r>
            <w:proofErr w:type="spellEnd"/>
            <w:r w:rsidRPr="00E82B4F">
              <w:rPr>
                <w:sz w:val="20"/>
                <w:szCs w:val="20"/>
              </w:rPr>
              <w:t xml:space="preserve"> II prawo Mendla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na schemacie krzyżówki genetycznej rozpoznaje genotyp oraz określa fenotyp rodziców i pokolenia potomnego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wykonuje krzyżówki genetyczne dotyczące dziedziczenia jednego genu 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inne przykłady dziedziczenia cech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omawia badania Mendla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mechanizm </w:t>
            </w:r>
            <w:r w:rsidRPr="00E82B4F">
              <w:rPr>
                <w:sz w:val="20"/>
                <w:szCs w:val="20"/>
              </w:rPr>
              <w:lastRenderedPageBreak/>
              <w:t xml:space="preserve">dziedziczenia cech zgodnie z I </w:t>
            </w:r>
            <w:proofErr w:type="spellStart"/>
            <w:r w:rsidRPr="00E82B4F">
              <w:rPr>
                <w:sz w:val="20"/>
                <w:szCs w:val="20"/>
              </w:rPr>
              <w:t>i</w:t>
            </w:r>
            <w:proofErr w:type="spellEnd"/>
            <w:r w:rsidRPr="00E82B4F">
              <w:rPr>
                <w:sz w:val="20"/>
                <w:szCs w:val="20"/>
              </w:rPr>
              <w:t xml:space="preserve"> II prawem Mendla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wykonuje krzyżówki genetyczne dotyczące dziedziczenia dwóch genów  </w:t>
            </w:r>
          </w:p>
          <w:p w:rsidR="002665EE" w:rsidRPr="00627CC8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interpretuje krzyżówki genetyczne, używając określeń </w:t>
            </w:r>
            <w:r w:rsidRPr="00E82B4F">
              <w:rPr>
                <w:i/>
                <w:sz w:val="20"/>
                <w:szCs w:val="20"/>
              </w:rPr>
              <w:t>homozygota, heterozygota, cecha dominująca, cecha recesywna</w:t>
            </w:r>
            <w:r w:rsidR="00627C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ocenia znaczenie prac Mendla dla rozwoju </w:t>
            </w:r>
            <w:r w:rsidRPr="00E82B4F">
              <w:rPr>
                <w:sz w:val="20"/>
                <w:szCs w:val="20"/>
              </w:rPr>
              <w:lastRenderedPageBreak/>
              <w:t xml:space="preserve">genetyki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prawdopodobieństwo pojawienia się określonych genotypów i fenotypów potomstwa na podstawie genotypów rodziców</w:t>
            </w:r>
          </w:p>
          <w:p w:rsidR="002665EE" w:rsidRPr="00E82B4F" w:rsidRDefault="002665EE" w:rsidP="00627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7F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Genetyczne uwarunkowania płci. Cechy sprzężone z płcią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zasadę dziedziczenia płci u człowieka za pomocą krzyżówki genetycznej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chorób sprzężonych z płcią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chromosomy płci i chromosomy autosomalne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mechanizm ujawnienia się cech recesywnych sprzężonych z płcią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wykonuje krzyżówki genetyczne dotyczące dziedziczenia chorób sprzężonych z płcią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cech związanych z płcią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 xml:space="preserve">chromosomy płci, chromosomy autosomalne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mechanizmów dziedziczenia płci u innych organizmów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interpretuje krzyżówki genetyczne dotyczące dziedziczenia chorób sprzężonych z płcią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różnicę między cechami sprzężonymi a cechami związanymi z płcią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w jaki sposób dziedziczy się </w:t>
            </w:r>
            <w:proofErr w:type="spellStart"/>
            <w:r w:rsidRPr="00E82B4F">
              <w:rPr>
                <w:sz w:val="20"/>
                <w:szCs w:val="20"/>
              </w:rPr>
              <w:t>hemofilę</w:t>
            </w:r>
            <w:proofErr w:type="spellEnd"/>
            <w:r w:rsidRPr="00E82B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uzasadnia, dlaczego mężczyźni częściej chorują na hemofilię i daltonizm niż kobiety 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różnice między chromosomem X a chromosomem Y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C1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1E" w:rsidRPr="00E82B4F" w:rsidRDefault="007F6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E" w:rsidRDefault="007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E" w:rsidRPr="00E82B4F" w:rsidRDefault="007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Dziedziczenie cech </w:t>
            </w:r>
            <w:r>
              <w:rPr>
                <w:sz w:val="20"/>
                <w:szCs w:val="20"/>
              </w:rPr>
              <w:lastRenderedPageBreak/>
              <w:t>u ludzi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E" w:rsidRPr="00E82B4F" w:rsidRDefault="007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pomocą nauczyciela rozpisuje prostą krzyżówkę </w:t>
            </w:r>
            <w:r>
              <w:rPr>
                <w:sz w:val="20"/>
                <w:szCs w:val="20"/>
              </w:rPr>
              <w:lastRenderedPageBreak/>
              <w:t>genetyczną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E" w:rsidRPr="00E82B4F" w:rsidRDefault="007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wykonuje </w:t>
            </w:r>
            <w:r>
              <w:rPr>
                <w:sz w:val="20"/>
                <w:szCs w:val="20"/>
              </w:rPr>
              <w:lastRenderedPageBreak/>
              <w:t>krzyżówki genetyczne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E" w:rsidRPr="00E82B4F" w:rsidRDefault="007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rozwiązuje i </w:t>
            </w:r>
            <w:r w:rsidRPr="00E82B4F">
              <w:rPr>
                <w:sz w:val="20"/>
                <w:szCs w:val="20"/>
              </w:rPr>
              <w:lastRenderedPageBreak/>
              <w:t>interpretuje krzyżówki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1E" w:rsidRPr="00E82B4F" w:rsidRDefault="007F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rozwiązuje i </w:t>
            </w:r>
            <w:r w:rsidRPr="00E82B4F">
              <w:rPr>
                <w:sz w:val="20"/>
                <w:szCs w:val="20"/>
              </w:rPr>
              <w:t xml:space="preserve">interpretuje </w:t>
            </w:r>
            <w:r>
              <w:rPr>
                <w:sz w:val="20"/>
                <w:szCs w:val="20"/>
              </w:rPr>
              <w:t xml:space="preserve">bardziej </w:t>
            </w:r>
            <w:r>
              <w:rPr>
                <w:sz w:val="20"/>
                <w:szCs w:val="20"/>
              </w:rPr>
              <w:lastRenderedPageBreak/>
              <w:t xml:space="preserve">złożone </w:t>
            </w:r>
            <w:r w:rsidRPr="00E82B4F">
              <w:rPr>
                <w:sz w:val="20"/>
                <w:szCs w:val="20"/>
              </w:rPr>
              <w:t>krzyżówki</w:t>
            </w: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7F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Zmiany w informacji genetycznej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rekombinacja genetyczna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mutacja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mutacje genowe i chromosomowe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czynniki mutagenne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klasyfikuje mutacje ze względu na ich konsekwencje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opisuje znaczenie rekombinacji genetycznej w kształtowaniu zmienności genetycznej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czynniki mutagenne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skutki mutacji genowych</w:t>
            </w:r>
          </w:p>
          <w:p w:rsidR="002665EE" w:rsidRPr="00E82B4F" w:rsidRDefault="002665EE">
            <w:pPr>
              <w:rPr>
                <w:rFonts w:ascii="Arial" w:hAnsi="Arial" w:cs="Arial"/>
                <w:sz w:val="14"/>
                <w:szCs w:val="16"/>
              </w:rPr>
            </w:pPr>
            <w:r w:rsidRPr="00E82B4F">
              <w:rPr>
                <w:sz w:val="20"/>
                <w:szCs w:val="20"/>
              </w:rPr>
              <w:t xml:space="preserve">• omawia skutki mutacji chromosomowych </w:t>
            </w:r>
          </w:p>
          <w:p w:rsidR="002665EE" w:rsidRPr="00E82B4F" w:rsidRDefault="002665EE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opisuje procesy warunkujące rekombinację genetyczną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mutacje spontaniczne i indukowane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klasyfikuje czynniki mutagenne</w:t>
            </w:r>
          </w:p>
          <w:p w:rsidR="002665EE" w:rsidRPr="00E82B4F" w:rsidRDefault="002665EE">
            <w:pPr>
              <w:rPr>
                <w:rFonts w:ascii="Arial" w:hAnsi="Arial" w:cs="Arial"/>
                <w:sz w:val="14"/>
                <w:szCs w:val="16"/>
              </w:rPr>
            </w:pPr>
            <w:r w:rsidRPr="00E82B4F">
              <w:rPr>
                <w:sz w:val="20"/>
                <w:szCs w:val="20"/>
              </w:rPr>
              <w:t xml:space="preserve">• wyjaśnia, na czym polegają poszczególne rodzaje mutacji genowych i chromosomowych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w jaki sposób mutacje prowadzą do chorób nowotworowych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przebieg procesu </w:t>
            </w:r>
            <w:proofErr w:type="spellStart"/>
            <w:r w:rsidRPr="00E82B4F">
              <w:rPr>
                <w:i/>
                <w:sz w:val="20"/>
                <w:szCs w:val="20"/>
              </w:rPr>
              <w:t>crossing-over</w:t>
            </w:r>
            <w:proofErr w:type="spellEnd"/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rodowody pod kątem metody diagnozowania mutacji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mutacje w zależności od rodzaju komórki, w której mają miejsce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uzasadnia, że mutacje są źródłem zmienności organizmów </w:t>
            </w: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EF3D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Choroby genetyczne człowieka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choroba genetyczna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klasyfikuje choroby genetyczne ze względu na przyczynę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przykłady chorób genetycznych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na czym polega profilaktyka genetyczna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choroby jednogenowe z uwzględnieniem sposobu dziedziczenia, skutków mutacji, objawów i leczenia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choroby chromosomalne z uwzględnieniem zmian w kariotypie, objawów i leczenia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wybrane choroby genetyczne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F3D23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analizuje dziedziczenie wybranej choroby genetycznej jednogenowej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klasyfikuje badania prenatalne oraz dokonuje ich charakterystyki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dostrzega wady i zalety badań prenatalnych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znaczenie przeprowadzania testów </w:t>
            </w:r>
            <w:proofErr w:type="spellStart"/>
            <w:r w:rsidRPr="00E82B4F">
              <w:rPr>
                <w:sz w:val="20"/>
                <w:szCs w:val="20"/>
              </w:rPr>
              <w:t>pourodzeniowych</w:t>
            </w:r>
            <w:proofErr w:type="spellEnd"/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szacuje ryzyko wystąpienia mutacji u dziecka</w:t>
            </w:r>
          </w:p>
        </w:tc>
      </w:tr>
      <w:tr w:rsidR="00EF3D23" w:rsidRPr="00E82B4F" w:rsidTr="002665EE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23" w:rsidRPr="00E82B4F" w:rsidRDefault="00EF3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3" w:rsidRDefault="00EF3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3" w:rsidRPr="00E82B4F" w:rsidRDefault="00EF3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genetyczne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3" w:rsidRPr="00E82B4F" w:rsidRDefault="00EF3D23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wyjaśnia, na czym polega poradnictwo genetyc</w:t>
            </w:r>
            <w:r>
              <w:rPr>
                <w:sz w:val="20"/>
                <w:szCs w:val="20"/>
              </w:rPr>
              <w:t>zne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3" w:rsidRPr="00E82B4F" w:rsidRDefault="00EF3D23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 wymienia sytuacje, w których należy wykonać badania DNA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3" w:rsidRPr="00E82B4F" w:rsidRDefault="00EF3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teksty popularnonaukowe dotyczące poradnictwa genetycznego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23" w:rsidRPr="00E82B4F" w:rsidRDefault="00EF3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wyszukuje informacje na temat poradnictwa genetycznego</w:t>
            </w:r>
          </w:p>
        </w:tc>
      </w:tr>
      <w:tr w:rsidR="002665EE" w:rsidRPr="00E82B4F" w:rsidTr="00652A24">
        <w:trPr>
          <w:gridAfter w:val="1"/>
          <w:wAfter w:w="30" w:type="dxa"/>
          <w:trHeight w:val="2987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II. Biotechnologia i inżynieria genetyczna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 xml:space="preserve">Biotechnologia tradycyjna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biotechnologia</w:t>
            </w:r>
            <w:r w:rsidRPr="00E82B4F">
              <w:rPr>
                <w:sz w:val="20"/>
                <w:szCs w:val="20"/>
              </w:rPr>
              <w:t xml:space="preserve">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przykłady produktów otrzymywanych metodami biotechnologii tradycyjnej </w:t>
            </w:r>
          </w:p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przedstawia zastosowania fermentacji mlekowej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przedstawia zastosowania fermentacji etanolowej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na czym polega reakcja fermentacji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uzasadnienia różnicę między biotechnologią tradycyjną a biotechnologią nowoczesną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zapisuje reakcje fermentacji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wykorzystanie bakterii octowych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na przykładach znaczenie fermentacji mlekowej</w:t>
            </w:r>
          </w:p>
          <w:p w:rsidR="002665EE" w:rsidRPr="00F17474" w:rsidRDefault="002665EE" w:rsidP="00F17474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dowodzi pozytywnego i negatywnego znaczenia zachod</w:t>
            </w:r>
            <w:r w:rsidR="00F17474">
              <w:rPr>
                <w:sz w:val="20"/>
                <w:szCs w:val="20"/>
              </w:rPr>
              <w:t>zenia fermentacji dla człowieka</w:t>
            </w:r>
          </w:p>
        </w:tc>
      </w:tr>
      <w:tr w:rsidR="002665EE" w:rsidRPr="00E82B4F" w:rsidTr="002665EE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 xml:space="preserve">Biotechnologia w ochronie środowiska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praktycznego wykorzystania organizmów do rozkładu substancji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oczyszczanie biologiczne, tworzywa biodegradowalne, biologiczne zwalczanie szkodników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metody utylizacji odpadów komunalnych </w:t>
            </w:r>
          </w:p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mechanizm biologicznego oczyszczania ścieków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zastosowanie testów uzyskanych metodami biotechnologicznymi do oceny stanu środowiska</w:t>
            </w:r>
          </w:p>
          <w:p w:rsidR="002665EE" w:rsidRPr="00E82B4F" w:rsidRDefault="002665EE">
            <w:pPr>
              <w:ind w:left="76"/>
              <w:rPr>
                <w:sz w:val="20"/>
                <w:szCs w:val="20"/>
              </w:rPr>
            </w:pPr>
          </w:p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istotę funkcjonowania </w:t>
            </w:r>
            <w:proofErr w:type="spellStart"/>
            <w:r w:rsidRPr="00E82B4F">
              <w:rPr>
                <w:sz w:val="20"/>
                <w:szCs w:val="20"/>
              </w:rPr>
              <w:t>biofiltrów</w:t>
            </w:r>
            <w:proofErr w:type="spellEnd"/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wykazuje rolę mikroorganizmów w biologicznym oczyszczaniu ścieków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metody utylizacji odpadów komunalnych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opisuje metody zwalczania szkodników z użyciem metod biologicznych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dowodzi roli przetwarzania odpadów komunalnych jako alternatywnego źródła energii 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korzyści wynikające z  zastosowania tworzyw biodegradowalnych zamiast tradycyjnych tworzyw sztucznych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zastosowanie metod biotechnologicznych do </w:t>
            </w:r>
            <w:r w:rsidRPr="00E82B4F">
              <w:rPr>
                <w:sz w:val="20"/>
                <w:szCs w:val="20"/>
              </w:rPr>
              <w:lastRenderedPageBreak/>
              <w:t>wytwarzania energii</w:t>
            </w:r>
          </w:p>
        </w:tc>
      </w:tr>
      <w:tr w:rsidR="002665EE" w:rsidRPr="00E82B4F" w:rsidTr="00B926B0">
        <w:trPr>
          <w:gridAfter w:val="1"/>
          <w:wAfter w:w="30" w:type="dxa"/>
          <w:trHeight w:val="2407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Podstawowe techniki inżynierii genetycznej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inżynieria genetyczna,  organizm zmodyfikowany genetycznie</w:t>
            </w:r>
            <w:r w:rsidRPr="00E82B4F">
              <w:rPr>
                <w:sz w:val="20"/>
                <w:szCs w:val="20"/>
              </w:rPr>
              <w:t xml:space="preserve">, </w:t>
            </w:r>
            <w:r w:rsidRPr="00E82B4F">
              <w:rPr>
                <w:i/>
                <w:sz w:val="20"/>
                <w:szCs w:val="20"/>
              </w:rPr>
              <w:t>organizm transgeniczny</w:t>
            </w:r>
            <w:r w:rsidRPr="00E82B4F">
              <w:rPr>
                <w:sz w:val="20"/>
                <w:szCs w:val="20"/>
              </w:rPr>
              <w:t>,</w:t>
            </w:r>
            <w:r w:rsidRPr="00E82B4F">
              <w:rPr>
                <w:i/>
                <w:sz w:val="20"/>
                <w:szCs w:val="20"/>
              </w:rPr>
              <w:t xml:space="preserve"> enzym restrykcyjny, wektor</w:t>
            </w:r>
          </w:p>
          <w:p w:rsidR="002665EE" w:rsidRPr="00B926B0" w:rsidRDefault="002665EE" w:rsidP="00B926B0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techniki inżynierii genetycznej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czym zajmuje się inżynieria genetyczna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na czym polega: sekwencjonowanie DNA, elektroforeza, łańcuchowa reakcja polimerazy, sonda molekularna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sposoby otrzymania organizmów transgenicznych </w:t>
            </w:r>
          </w:p>
          <w:p w:rsidR="002665EE" w:rsidRPr="00B926B0" w:rsidRDefault="002665EE" w:rsidP="00B926B0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funkcję enzymów restrykcyjnych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627CC8" w:rsidRDefault="002665EE" w:rsidP="00627CC8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analizuje poszczególne etapy: elektroforezy, metody PCR i wprowadzenia genu do komórki  </w:t>
            </w:r>
          </w:p>
        </w:tc>
      </w:tr>
      <w:tr w:rsidR="002665EE" w:rsidRPr="00E82B4F" w:rsidTr="002665EE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Organizmy zmodyfikowane genetycznie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cele tworzenia roślin i zwierząt zmodyfikowanych genetycznie </w:t>
            </w:r>
          </w:p>
          <w:p w:rsidR="002665EE" w:rsidRPr="00E82B4F" w:rsidRDefault="002665EE">
            <w:pPr>
              <w:ind w:left="76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cele tworzenia roślin i zwierząt zmodyfikowanych genetycznie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określa korzyści wynikające ze stosowania zmodyfikowanych genetycznie zwierząt w rolnictwie, medycynie, nauce i przemyśle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określa rodzaje modyfikacji genetycznych roślin oraz wskazuje cechy, które rośliny zyskują dzięki nim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kolejne etapy transformacji genetycznej roślin i zwierząt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argumenty za i przeciw genetycznej modyfikacji organizmów</w:t>
            </w:r>
          </w:p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rzetelność przekazu medialnego na temat GMO </w:t>
            </w:r>
          </w:p>
        </w:tc>
      </w:tr>
      <w:tr w:rsidR="00652A24" w:rsidRPr="00E82B4F" w:rsidTr="002665EE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24" w:rsidRPr="00E82B4F" w:rsidRDefault="00652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24" w:rsidRPr="00E82B4F" w:rsidRDefault="00652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24" w:rsidRPr="00E82B4F" w:rsidRDefault="00652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Żywność modyfikowana genetycznie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24" w:rsidRPr="00E82B4F" w:rsidRDefault="00652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czym jest żywność modyfikowana genetycznie, podaje przykłady takiej żywności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24" w:rsidRPr="00E82B4F" w:rsidRDefault="00652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swoją opinię na temat spożywania żywności modyfikowanej genetycznie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24" w:rsidRPr="00E82B4F" w:rsidRDefault="00652A24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artykuł na temat żywności modyfikowanej genetycznie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24" w:rsidRPr="00E82B4F" w:rsidRDefault="00652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samodzielnie wyszukanych informacji przedstawia argumenty za i przeciw spożywaniu żywności modyfikowanej genetycznie</w:t>
            </w:r>
          </w:p>
        </w:tc>
      </w:tr>
      <w:tr w:rsidR="002665EE" w:rsidRPr="00E82B4F" w:rsidTr="002665EE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Biotechnologia a </w:t>
            </w:r>
            <w:r w:rsidRPr="00E82B4F">
              <w:rPr>
                <w:sz w:val="20"/>
                <w:szCs w:val="20"/>
              </w:rPr>
              <w:lastRenderedPageBreak/>
              <w:t xml:space="preserve">medycyna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 xml:space="preserve">diagnostyka </w:t>
            </w:r>
            <w:r w:rsidRPr="00E82B4F">
              <w:rPr>
                <w:i/>
                <w:sz w:val="20"/>
                <w:szCs w:val="20"/>
              </w:rPr>
              <w:lastRenderedPageBreak/>
              <w:t>molekularna, terapia genowa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molekularnych metod diagnostycznych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określa cel molekularnych </w:t>
            </w:r>
            <w:r w:rsidRPr="00E82B4F">
              <w:rPr>
                <w:sz w:val="20"/>
                <w:szCs w:val="20"/>
              </w:rPr>
              <w:lastRenderedPageBreak/>
              <w:t>metod diagnostycznych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leków uzyskiwanych dzięki zastosowaniu biotechnologii nowoczesnej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rolę organizmów zmodyfikowanych genetycznie w produkcji </w:t>
            </w:r>
            <w:proofErr w:type="spellStart"/>
            <w:r w:rsidRPr="00E82B4F">
              <w:rPr>
                <w:sz w:val="20"/>
                <w:szCs w:val="20"/>
              </w:rPr>
              <w:t>biofarmaceutyków</w:t>
            </w:r>
            <w:proofErr w:type="spellEnd"/>
            <w:r w:rsidRPr="00E82B4F">
              <w:rPr>
                <w:sz w:val="20"/>
                <w:szCs w:val="20"/>
              </w:rPr>
              <w:t xml:space="preserve">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2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na czym polega terapia genowa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2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znaczenie biotechnologii w otrzymywaniu materiałów medycznych nowej generacji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omawia badania prowadzone w ramach diagnostyki </w:t>
            </w:r>
            <w:r w:rsidRPr="00E82B4F">
              <w:rPr>
                <w:sz w:val="20"/>
                <w:szCs w:val="20"/>
              </w:rPr>
              <w:lastRenderedPageBreak/>
              <w:t xml:space="preserve">molekularnej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techniki otrzymywania </w:t>
            </w:r>
            <w:proofErr w:type="spellStart"/>
            <w:r w:rsidRPr="00E82B4F">
              <w:rPr>
                <w:sz w:val="20"/>
                <w:szCs w:val="20"/>
              </w:rPr>
              <w:t>biofarmeceutyków</w:t>
            </w:r>
            <w:proofErr w:type="spellEnd"/>
            <w:r w:rsidRPr="00E82B4F">
              <w:rPr>
                <w:sz w:val="20"/>
                <w:szCs w:val="20"/>
              </w:rPr>
              <w:t xml:space="preserve">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możliwości związane z hodowlą tkanek i narządów w transplantologii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poszczególne rodzaje terapii genowej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rodzaje terapii genowej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249" w:right="-20"/>
              <w:rPr>
                <w:sz w:val="20"/>
                <w:szCs w:val="20"/>
              </w:rPr>
            </w:pP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rozróżnia molekularne </w:t>
            </w:r>
            <w:r w:rsidRPr="00E82B4F">
              <w:rPr>
                <w:sz w:val="20"/>
                <w:szCs w:val="20"/>
              </w:rPr>
              <w:lastRenderedPageBreak/>
              <w:t>metody diagnostyczne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dowodzi skuteczności badania prowadzonych w ramach diagnostyki molekularnej w indywidualizacji procesu leczenia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określa znaczenie wykorzystania komórek macierzystych w leczeniu chorób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2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skuteczność leczenia schorzeń metodami terapii genowej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2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EE" w:rsidRPr="00E82B4F" w:rsidTr="002665EE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Klonowanie - tworzenie genetycznych kopii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pojęcia: </w:t>
            </w:r>
            <w:r w:rsidRPr="00E82B4F">
              <w:rPr>
                <w:i/>
                <w:sz w:val="20"/>
                <w:szCs w:val="20"/>
              </w:rPr>
              <w:t>klonowanie</w:t>
            </w:r>
            <w:r w:rsidRPr="00E82B4F">
              <w:rPr>
                <w:sz w:val="20"/>
                <w:szCs w:val="20"/>
              </w:rPr>
              <w:t>,</w:t>
            </w:r>
            <w:r w:rsidRPr="00E82B4F">
              <w:rPr>
                <w:i/>
                <w:sz w:val="20"/>
                <w:szCs w:val="20"/>
              </w:rPr>
              <w:t xml:space="preserve"> klon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organizmów będących naturalnymi klonami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cele klonowania DNA, komórek, roślin i zwierząt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i/>
                <w:sz w:val="20"/>
                <w:szCs w:val="20"/>
              </w:rPr>
            </w:pPr>
          </w:p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udowadnia, że bliźnięta jednojajowe są naturalnymi klonami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w jaki sposób otrzymuje się klony DNA, komórek, roślin i zwierząt  </w:t>
            </w:r>
          </w:p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swoje stanowisko w sprawie klonowania człowieka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rodzaje rozmnażania bezpłciowego jako przykłady naturalnego klonowania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 • omawia sposoby klonowania roślin i zwierząt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rozróżnia klonowanie reprodukcyjne i terapeutyczne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formułuje argumenty za i </w:t>
            </w:r>
            <w:r w:rsidRPr="00E82B4F">
              <w:rPr>
                <w:sz w:val="20"/>
                <w:szCs w:val="20"/>
              </w:rPr>
              <w:lastRenderedPageBreak/>
              <w:t xml:space="preserve">przeciw klonowaniu człowieka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analizuje kolejne etapy klonowania </w:t>
            </w:r>
            <w:proofErr w:type="spellStart"/>
            <w:r w:rsidRPr="00E82B4F">
              <w:rPr>
                <w:sz w:val="20"/>
                <w:szCs w:val="20"/>
              </w:rPr>
              <w:t>ssakówt</w:t>
            </w:r>
            <w:proofErr w:type="spellEnd"/>
            <w:r w:rsidRPr="00E82B4F">
              <w:rPr>
                <w:sz w:val="20"/>
                <w:szCs w:val="20"/>
              </w:rPr>
              <w:t xml:space="preserve"> metodą transplantacji jąder komórkowych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ocenia przekaz medialny dotyczący klonowania, w tym klonowania człowieka</w:t>
            </w:r>
          </w:p>
          <w:p w:rsidR="002665EE" w:rsidRPr="00E82B4F" w:rsidRDefault="002665EE">
            <w:pPr>
              <w:ind w:left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rolę klonowania w </w:t>
            </w:r>
            <w:r w:rsidRPr="00E82B4F">
              <w:rPr>
                <w:sz w:val="20"/>
                <w:szCs w:val="20"/>
              </w:rPr>
              <w:lastRenderedPageBreak/>
              <w:t>zachowaniu bioróżnorodności gatunkowej</w:t>
            </w:r>
          </w:p>
        </w:tc>
      </w:tr>
      <w:tr w:rsidR="002665EE" w:rsidRPr="00E82B4F" w:rsidTr="002665EE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Inżynieria genetyczna – korzyści i zagrożenia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argumenty za i przeciw stosowaniu technik inżynierii genetycznej w badaniach naukowych, medycynie, rolnictwie, przemyśle i ochronie środowiska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argumenty za i przeciw stosowaniu zwierząt w eksperymentach naukowych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w jaki sposób GMO mogą wpłynąć negatywnie na środowisko naturalne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rozpoznaje produkty GMO</w:t>
            </w:r>
          </w:p>
          <w:p w:rsidR="002665EE" w:rsidRPr="00E82B4F" w:rsidRDefault="002665EE">
            <w:pPr>
              <w:ind w:left="76" w:hanging="76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wpływ produktów GMO na zdrowie człowieka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obawy etyczne związane z GMO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sposoby zapobiegania zagrożeniom ze strony organizmów zmodyfikowanych genetycznie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regulacje prawne dotyczące GMO w Unii Europejskiej </w:t>
            </w:r>
          </w:p>
          <w:p w:rsidR="002665EE" w:rsidRPr="00E82B4F" w:rsidRDefault="002665EE">
            <w:pPr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przekaz medialny dotyczący badań naukowych oraz przewiduje skutki nierzetelnej informacji obecnej w mediach </w:t>
            </w:r>
          </w:p>
        </w:tc>
      </w:tr>
      <w:tr w:rsidR="002665EE" w:rsidRPr="00E82B4F" w:rsidTr="002665EE">
        <w:trPr>
          <w:gridAfter w:val="1"/>
          <w:wAfter w:w="30" w:type="dxa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652A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bCs/>
                <w:sz w:val="20"/>
                <w:szCs w:val="20"/>
              </w:rPr>
              <w:t>Znaczenie badań nad DNA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praktycznego zastosowania badań nad DNA w medycynie, medycynie sądowej, biotechnologii nowoczesnej, ewolucjonizmie i systematyce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 xml:space="preserve">profil genetyczny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</w:p>
          <w:p w:rsidR="002665EE" w:rsidRPr="00E82B4F" w:rsidRDefault="002665EE">
            <w:pPr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na czym polega zastosowanie badań nad DNA w medycynie, medycynie sądowej, biotechnologii nowoczesnej, ewolucjonizmie i systematyce </w:t>
            </w:r>
          </w:p>
          <w:p w:rsidR="002665EE" w:rsidRPr="00B926B0" w:rsidRDefault="002665EE" w:rsidP="00B926B0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 sposób wykorzystania DNA do określenia pokrewieństwa oraz ustalenia lub wykluczenia ojcostwa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organizmów oraz pozyskiwanych od nich genów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metody śledzenia funkcjonowania wybranego genu </w:t>
            </w:r>
          </w:p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wykorzystanie badań DNA w medycynie sądowej </w:t>
            </w:r>
          </w:p>
          <w:p w:rsidR="002665EE" w:rsidRPr="00E82B4F" w:rsidRDefault="002665EE">
            <w:pPr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znaczenie analizy sekwencji DNA w badaniach ewolucyjnych i taksonomicznych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widowControl w:val="0"/>
              <w:autoSpaceDE w:val="0"/>
              <w:autoSpaceDN w:val="0"/>
              <w:adjustRightInd w:val="0"/>
              <w:spacing w:before="28"/>
              <w:ind w:left="76" w:right="-20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kolejne etapy metody ustalania profilu genetycznego</w:t>
            </w:r>
          </w:p>
          <w:p w:rsidR="002665EE" w:rsidRPr="00E82B4F" w:rsidRDefault="002665EE">
            <w:pPr>
              <w:ind w:left="76" w:hanging="76"/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przewiduje możliwe kierunki rozwoju inżynierii genetycznej na podstawie zdobytej wiedzy </w:t>
            </w:r>
          </w:p>
        </w:tc>
      </w:tr>
      <w:tr w:rsidR="002665EE" w:rsidRPr="00E82B4F" w:rsidTr="002665EE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III. Ochrona przyrody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D77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Czym jest różnorodność </w:t>
            </w:r>
            <w:r w:rsidRPr="00E82B4F">
              <w:rPr>
                <w:sz w:val="20"/>
                <w:szCs w:val="20"/>
              </w:rPr>
              <w:lastRenderedPageBreak/>
              <w:t>biologiczna?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wymienia poziomy różnorodności biologicznej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wskazuje trzy miejsca na Ziemi szczególnie cenne pod względem różnorodności biologicznej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wyjaśnia pojęcie </w:t>
            </w:r>
            <w:r w:rsidRPr="00E82B4F">
              <w:rPr>
                <w:i/>
                <w:sz w:val="20"/>
                <w:szCs w:val="20"/>
              </w:rPr>
              <w:t>różnorodność biologiczna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omawia wskazany czynnik kształtujący różnorodność biologiczną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różnice pomiędzy poziomami różnorodności biologicznej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praktyczne znaczenie bioróżnorodności dla człowieka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charakteryzuje poziomy różnorodności biologicznej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porównuje poziomy różnorodności biologicznej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wybrane miejsca na Ziemi, szczególnie cenne pod względem różnorodności biologicznej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opisuje metody pozwalające na określenie poziomu bioróżnorodności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analizuje wpływ różnych czynników na </w:t>
            </w:r>
            <w:r w:rsidRPr="00E82B4F">
              <w:rPr>
                <w:sz w:val="20"/>
                <w:szCs w:val="20"/>
              </w:rPr>
              <w:lastRenderedPageBreak/>
              <w:t>kształtowanie się różnorodności biologicznej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zmiany różnorodności gatunkowej w czasie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dowodzi istnienia trudności w określaniu liczby gatunków na świecie </w:t>
            </w: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D77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Zagrożenia różnorodności biologicznej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przykłady gatunków zagrożonych wyginięciem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przykłady gatunków wymarłych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wylicza czynniki wpływające na stan ekosystemów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działalności człowieka przyczyniającej się do spadku różnorodności biologicznej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miejsca najbardziej narażone na zanik różnorodności biologicznej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gatunków inwazyjnych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przyczyny wymierania gatunków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wskazuje działalność człowieka jako przyczynę spadku różnorodności biologicznej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przyczyny zanikania różnorodności biologicznej na świecie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analizuje wpływ rolnictwa na zachowanie różnorodności biologicznej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skutki wyginięcia gatunków zwornikowych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dowodzi istnienia różnic pomiędzy współczesnym wymieraniem gatunków a poprzednimi </w:t>
            </w:r>
            <w:proofErr w:type="spellStart"/>
            <w:r w:rsidRPr="00E82B4F">
              <w:rPr>
                <w:sz w:val="20"/>
                <w:szCs w:val="20"/>
              </w:rPr>
              <w:t>wymieraniami</w:t>
            </w:r>
            <w:proofErr w:type="spellEnd"/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przewiduje skutki osuszania obszarów podmokłych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wpływ gatunków obcych, w tym inwazyjnych, na ekosystemy</w:t>
            </w: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D77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Motywy i koncepcje ochrony przyrody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zadania ochrony przyrody 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motywy ochrony </w:t>
            </w:r>
            <w:r w:rsidRPr="00E82B4F">
              <w:rPr>
                <w:sz w:val="20"/>
                <w:szCs w:val="20"/>
              </w:rPr>
              <w:lastRenderedPageBreak/>
              <w:t>przyrody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uzasadnia konieczność ochrony przyrody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omawia wybrane motywy </w:t>
            </w:r>
            <w:r w:rsidRPr="00E82B4F">
              <w:rPr>
                <w:sz w:val="20"/>
                <w:szCs w:val="20"/>
              </w:rPr>
              <w:lastRenderedPageBreak/>
              <w:t>ochrony przyrody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omawia motywy ochrony przyrody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charakteryzuje koncepcje </w:t>
            </w:r>
            <w:r w:rsidRPr="00E82B4F">
              <w:rPr>
                <w:sz w:val="20"/>
                <w:szCs w:val="20"/>
              </w:rPr>
              <w:lastRenderedPageBreak/>
              <w:t xml:space="preserve">ochrony przyrody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podejmowania działań prowadzących do zachowania różnorodności biologicznej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 xml:space="preserve">• podaje przykłady działań w zakresie ochrony przyrody wynikających z poszczególnych motywów </w:t>
            </w:r>
            <w:r w:rsidRPr="00E82B4F">
              <w:rPr>
                <w:sz w:val="20"/>
                <w:szCs w:val="20"/>
              </w:rPr>
              <w:lastRenderedPageBreak/>
              <w:t>ochrony przyrody</w:t>
            </w: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D77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Sposoby ochrony przyrody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sposoby ochrony przyrody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cele ochrony przyrody </w:t>
            </w:r>
          </w:p>
          <w:p w:rsidR="002665EE" w:rsidRPr="00E82B4F" w:rsidRDefault="002665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ochrony </w:t>
            </w:r>
            <w:r w:rsidRPr="00E82B4F">
              <w:rPr>
                <w:i/>
                <w:sz w:val="20"/>
                <w:szCs w:val="20"/>
              </w:rPr>
              <w:t>in situ</w:t>
            </w:r>
            <w:r w:rsidRPr="00E82B4F">
              <w:rPr>
                <w:sz w:val="20"/>
                <w:szCs w:val="20"/>
              </w:rPr>
              <w:t xml:space="preserve"> i </w:t>
            </w:r>
            <w:r w:rsidRPr="00E82B4F">
              <w:rPr>
                <w:i/>
                <w:sz w:val="20"/>
                <w:szCs w:val="20"/>
              </w:rPr>
              <w:t xml:space="preserve">ex situ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wskazany sposób ochrony przyrody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różnice pomiędzy sposobami ochrony przyrody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sytuacji, w których niezbędna jest ochrona czynna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sposoby ochrony przyrody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uzasadnia różnicę między ochroną bierną a ochroną czynną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tworzenia banków nasion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gatunków, które restytuowano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działań, które dopuszcza się w przypadku ochrony częściowej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uzasadnia konieczność ochrony gatunkowej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dlaczego w stosunku do niektórych gatunków i obszarów stosowana jest ochrona ścisła, a do innych – ochrona częściowa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wyjaśnia, czym </w:t>
            </w:r>
            <w:proofErr w:type="spellStart"/>
            <w:r w:rsidRPr="00E82B4F">
              <w:rPr>
                <w:sz w:val="20"/>
                <w:szCs w:val="20"/>
              </w:rPr>
              <w:t>resystytucja</w:t>
            </w:r>
            <w:proofErr w:type="spellEnd"/>
            <w:r w:rsidRPr="00E82B4F">
              <w:rPr>
                <w:sz w:val="20"/>
                <w:szCs w:val="20"/>
              </w:rPr>
              <w:t xml:space="preserve"> różni się od </w:t>
            </w:r>
            <w:proofErr w:type="spellStart"/>
            <w:r w:rsidRPr="00E82B4F">
              <w:rPr>
                <w:sz w:val="20"/>
                <w:szCs w:val="20"/>
              </w:rPr>
              <w:t>reintrodukcji</w:t>
            </w:r>
            <w:proofErr w:type="spellEnd"/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skuteczność ochrony </w:t>
            </w:r>
            <w:r w:rsidRPr="00E82B4F">
              <w:rPr>
                <w:i/>
                <w:sz w:val="20"/>
                <w:szCs w:val="20"/>
              </w:rPr>
              <w:t>in situ</w:t>
            </w:r>
            <w:r w:rsidRPr="00E82B4F">
              <w:rPr>
                <w:sz w:val="20"/>
                <w:szCs w:val="20"/>
              </w:rPr>
              <w:t xml:space="preserve"> i </w:t>
            </w:r>
            <w:r w:rsidRPr="00E82B4F">
              <w:rPr>
                <w:i/>
                <w:sz w:val="20"/>
                <w:szCs w:val="20"/>
              </w:rPr>
              <w:t>ex situ</w:t>
            </w:r>
          </w:p>
        </w:tc>
      </w:tr>
      <w:tr w:rsidR="002665EE" w:rsidRPr="00E82B4F" w:rsidTr="00B926B0">
        <w:trPr>
          <w:trHeight w:val="4031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D77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Ochrona przyrody w Polsce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wymienia formy ochrony przyrody w Polsce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wskazuje na mapie parki narodowe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nazwy parków narodowych i krajobrazowych położonych najbliżej miejsca zamieszkania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po pięć nazw zwierząt, roślin i grzybów podlegających w Polsce ochronie gatunkowej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podaje przykłady działań podejmowanych w ramach ochrony czynnej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formy ochrony obszarowej przyjęte w Polsce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różnice pomiędzy formami ochrony indywidualnej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rozpoznaje na ilustracji lub fotografii omawiane wcześniej rośliny, zwierzęta i grzyby podlegające ochronie gatunkowej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wskazuje przykłady chronionych gatunków roślin i zwierząt występujących w najbliższej okolicy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rolę poszczególnych form ochrony przyrody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park narodowy położony najbliżej miejsca zamieszkania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klasyfikuje rezerwaty przyrody ze względu na przedmiot ochrony i typ ekosystemu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działania zakazane i dozwolone na obszarach podlegających ochronie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 znaczenie otulin tworzonych wokół parków narodowych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klasyfikuje parki narodowe według daty założenia lub wielkości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5EE" w:rsidRPr="00E82B4F" w:rsidTr="002665EE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D77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Międzynarodowe formy ochrony przyrody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wymienia międzynarodowe formy ochrony przyrody 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rezerwat biosfery jako międzynarodową formę ochrony przyrody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wylicza parki narodowe w Polsce uznane za rezerwaty biosfery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definiuje pojęcie </w:t>
            </w:r>
            <w:r w:rsidRPr="00E82B4F">
              <w:rPr>
                <w:i/>
                <w:sz w:val="20"/>
                <w:szCs w:val="20"/>
              </w:rPr>
              <w:t>zrównoważony</w:t>
            </w:r>
            <w:r w:rsidRPr="00E82B4F">
              <w:rPr>
                <w:sz w:val="20"/>
                <w:szCs w:val="20"/>
              </w:rPr>
              <w:t xml:space="preserve"> </w:t>
            </w:r>
            <w:r w:rsidRPr="00E82B4F">
              <w:rPr>
                <w:i/>
                <w:sz w:val="20"/>
                <w:szCs w:val="20"/>
              </w:rPr>
              <w:t>rozwój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omawia działalność organizacji zajmujących się ochroną przyrody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określa znaczenie </w:t>
            </w:r>
            <w:r w:rsidRPr="00E82B4F">
              <w:rPr>
                <w:i/>
                <w:sz w:val="20"/>
                <w:szCs w:val="20"/>
              </w:rPr>
              <w:t>Agendy 21</w:t>
            </w:r>
            <w:r w:rsidRPr="00E82B4F">
              <w:rPr>
                <w:sz w:val="20"/>
                <w:szCs w:val="20"/>
              </w:rPr>
              <w:t xml:space="preserve"> 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wyjaśnia, na czym polega zrównoważony rozwój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podaje przykłady międzynarodowych inicjatyw w zakresie ochrony przyrody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charakteryzuje parki narodowe w Polsce uznane za rezerwaty biosfery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rozróżnia typy obszarów sieci </w:t>
            </w:r>
            <w:r w:rsidRPr="00E82B4F">
              <w:rPr>
                <w:sz w:val="20"/>
                <w:szCs w:val="20"/>
              </w:rPr>
              <w:lastRenderedPageBreak/>
              <w:t>Natura 2000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formułuje sądy dotyczące zasad zrównoważonego rozwoju oraz sposobów i możliwości wdrażania tych zasad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lastRenderedPageBreak/>
              <w:t>• uzasadnia konieczność globalnej ochrony przyrody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ocenia znaczenie projektu Natura 2000</w:t>
            </w:r>
          </w:p>
          <w:p w:rsidR="002665EE" w:rsidRPr="00E82B4F" w:rsidRDefault="002665EE">
            <w:pPr>
              <w:rPr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>• ocenia działalność organizacji zajmujących się ochroną przyrody</w:t>
            </w:r>
          </w:p>
          <w:p w:rsidR="002665EE" w:rsidRPr="00E82B4F" w:rsidRDefault="002665EE">
            <w:pPr>
              <w:rPr>
                <w:rFonts w:ascii="Times New Roman" w:hAnsi="Times New Roman"/>
                <w:sz w:val="20"/>
                <w:szCs w:val="20"/>
              </w:rPr>
            </w:pPr>
            <w:r w:rsidRPr="00E82B4F">
              <w:rPr>
                <w:sz w:val="20"/>
                <w:szCs w:val="20"/>
              </w:rPr>
              <w:t xml:space="preserve">• ocenia stopień realizacji postulatów zrównoważonego rozwoju </w:t>
            </w:r>
            <w:r w:rsidRPr="00E82B4F">
              <w:rPr>
                <w:sz w:val="20"/>
                <w:szCs w:val="20"/>
              </w:rPr>
              <w:lastRenderedPageBreak/>
              <w:t xml:space="preserve">na świecie i w kraju </w:t>
            </w:r>
          </w:p>
        </w:tc>
      </w:tr>
    </w:tbl>
    <w:p w:rsidR="00F17474" w:rsidRPr="00F17474" w:rsidRDefault="00F17474" w:rsidP="00F17474">
      <w:pPr>
        <w:spacing w:line="288" w:lineRule="auto"/>
        <w:jc w:val="both"/>
        <w:rPr>
          <w:rFonts w:eastAsia="ZapfHumanist601PL-Roman"/>
          <w:b/>
          <w:bCs/>
          <w:sz w:val="20"/>
          <w:szCs w:val="20"/>
        </w:rPr>
      </w:pPr>
      <w:r w:rsidRPr="00F17474">
        <w:rPr>
          <w:rFonts w:eastAsia="ZapfHumanist601PL-Roman"/>
          <w:b/>
          <w:bCs/>
          <w:sz w:val="20"/>
          <w:szCs w:val="20"/>
        </w:rPr>
        <w:lastRenderedPageBreak/>
        <w:t>Dostosowania</w:t>
      </w:r>
    </w:p>
    <w:p w:rsidR="00F17474" w:rsidRDefault="00F17474" w:rsidP="00F17474">
      <w:pPr>
        <w:spacing w:line="288" w:lineRule="auto"/>
        <w:jc w:val="both"/>
        <w:rPr>
          <w:rFonts w:eastAsia="ZapfHumanist601PL-Roman"/>
          <w:sz w:val="20"/>
          <w:szCs w:val="20"/>
        </w:rPr>
      </w:pPr>
      <w:r w:rsidRPr="00F17474">
        <w:rPr>
          <w:rFonts w:eastAsia="ZapfHumanist601PL-Roman"/>
          <w:sz w:val="20"/>
          <w:szCs w:val="20"/>
        </w:rPr>
        <w:t>W przypadku uczniów z zaburzeniami i odchyleniami rozwojowymi lub specyficznymi trudnościami w uczeniu się, należy dostosowywać sprawdziany i testy indywidualnie, w zależności od konkretnych potrzeb psychofizycznych i edukacyjnych tych uczniów. Wymagania edukacyjne w stosunku do nich powinny być ustalone na takim poziomie, by byli w stanie im sprostać, ale jednocześnie by skłaniały ich do przezwyciężania trudności i motywowały do dalszej pracy. Przy ocenianiu uczniów z dysleksją nie będą brane pod uwagę błędy ortograficzne.</w:t>
      </w:r>
    </w:p>
    <w:p w:rsidR="00197EAA" w:rsidRDefault="00197EAA" w:rsidP="00197EAA">
      <w:pPr>
        <w:pStyle w:val="Tekstpodstawowy"/>
      </w:pPr>
      <w:r>
        <w:t xml:space="preserve">DOSTOSOWANIE WYMAGAŃ EDUKACYJNYCH </w:t>
      </w:r>
    </w:p>
    <w:p w:rsidR="00197EAA" w:rsidRDefault="00197EAA" w:rsidP="00197EAA">
      <w:pPr>
        <w:pStyle w:val="Tekstpodstawowy"/>
      </w:pPr>
      <w:r>
        <w:t>Opracowano na zebraniu Zespołu Przedmiotów Matematyczno-Przyrodniczych dnia 04.09.17</w:t>
      </w:r>
    </w:p>
    <w:p w:rsidR="00197EAA" w:rsidRDefault="00197EAA" w:rsidP="00197EAA">
      <w:r>
        <w:t>Uczniowie z opinią o dostosowaniu wymagań edukacyjnych</w:t>
      </w:r>
    </w:p>
    <w:p w:rsidR="00197EAA" w:rsidRDefault="00197EAA" w:rsidP="00197EAA">
      <w:pPr>
        <w:numPr>
          <w:ilvl w:val="0"/>
          <w:numId w:val="1"/>
        </w:numPr>
        <w:spacing w:after="0" w:line="240" w:lineRule="auto"/>
      </w:pPr>
      <w:r>
        <w:t>Dysleksja i dysgrafia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Nie uwzględnianie poprawności graficznej i ortograficznej w ocenianej pracy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Wydłużenie czasu pracy samodzielnej lub zmniejszenie liczby zadań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Prezentacja zadań do rozwiązania w formie pisemnej i ustnej.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Nie wymagać głośnego czytania na forum klasy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Umożliwić poprawę błędów przez ponowne wykonanie tej samej pracy.</w:t>
      </w:r>
    </w:p>
    <w:p w:rsidR="00197EAA" w:rsidRDefault="00197EAA" w:rsidP="00197EAA">
      <w:pPr>
        <w:pStyle w:val="Akapitzlist"/>
        <w:numPr>
          <w:ilvl w:val="0"/>
          <w:numId w:val="1"/>
        </w:numPr>
      </w:pPr>
      <w:r>
        <w:t>Uczniowie z nadwzrocznością:</w:t>
      </w:r>
    </w:p>
    <w:p w:rsidR="00197EAA" w:rsidRDefault="00197EAA" w:rsidP="00197EAA">
      <w:pPr>
        <w:numPr>
          <w:ilvl w:val="0"/>
          <w:numId w:val="2"/>
        </w:numPr>
        <w:spacing w:after="0" w:line="240" w:lineRule="auto"/>
      </w:pPr>
      <w:r>
        <w:t>Stosowanie czcionki max 10</w:t>
      </w:r>
    </w:p>
    <w:p w:rsidR="00197EAA" w:rsidRDefault="00197EAA" w:rsidP="00197EAA">
      <w:pPr>
        <w:pStyle w:val="Akapitzlist"/>
        <w:numPr>
          <w:ilvl w:val="0"/>
          <w:numId w:val="1"/>
        </w:numPr>
      </w:pPr>
      <w:r>
        <w:t>Uczniowie z niedosłuchem:</w:t>
      </w:r>
    </w:p>
    <w:p w:rsidR="00197EAA" w:rsidRDefault="00197EAA" w:rsidP="00197EAA">
      <w:pPr>
        <w:numPr>
          <w:ilvl w:val="0"/>
          <w:numId w:val="2"/>
        </w:numPr>
        <w:spacing w:after="0" w:line="240" w:lineRule="auto"/>
      </w:pPr>
      <w:r>
        <w:t>Umiejscawianie ucznia w pierwszych ławkach w klasie.</w:t>
      </w:r>
    </w:p>
    <w:p w:rsidR="00197EAA" w:rsidRDefault="00197EAA" w:rsidP="00197EAA">
      <w:pPr>
        <w:numPr>
          <w:ilvl w:val="0"/>
          <w:numId w:val="2"/>
        </w:numPr>
        <w:spacing w:after="0" w:line="240" w:lineRule="auto"/>
      </w:pPr>
      <w:r>
        <w:t>Mówienie w kierunku ucznia.</w:t>
      </w:r>
    </w:p>
    <w:p w:rsidR="00197EAA" w:rsidRDefault="00197EAA" w:rsidP="00197EAA">
      <w:pPr>
        <w:numPr>
          <w:ilvl w:val="0"/>
          <w:numId w:val="2"/>
        </w:numPr>
        <w:spacing w:after="0" w:line="240" w:lineRule="auto"/>
      </w:pPr>
      <w:r>
        <w:t>Kontrolowanie zrozumienia przez ucznia (np. kontrola poprawności notatek)</w:t>
      </w:r>
    </w:p>
    <w:p w:rsidR="00197EAA" w:rsidRDefault="00197EAA" w:rsidP="00197EAA">
      <w:pPr>
        <w:pStyle w:val="Akapitzlist"/>
        <w:numPr>
          <w:ilvl w:val="0"/>
          <w:numId w:val="1"/>
        </w:numPr>
      </w:pPr>
      <w:bookmarkStart w:id="0" w:name="_GoBack"/>
      <w:bookmarkEnd w:id="0"/>
      <w:r>
        <w:t>Uczniowie z autyzmem i zespołem Aspergera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lastRenderedPageBreak/>
        <w:t>Wydłużenie czasu pracy samodzielnej lub zmniejszenie liczby zadań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Nie uwzględnianie poprawności graficznej i ortograficznej w ocenianej pracy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Nie pytanie ucznia na forum klasy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Umożliwić poprawę błędów przez ponowne wykonanie tej samej pracy.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Umiejscawianie ucznia w pierwszych ławkach w klasie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Nie wymagać głośnego czytania na forum klasy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Pomoc nauczyciela wspomagającego</w:t>
      </w:r>
    </w:p>
    <w:p w:rsidR="00197EAA" w:rsidRDefault="00197EAA" w:rsidP="00197EAA">
      <w:pPr>
        <w:numPr>
          <w:ilvl w:val="1"/>
          <w:numId w:val="1"/>
        </w:numPr>
        <w:spacing w:after="0" w:line="240" w:lineRule="auto"/>
      </w:pPr>
      <w:r>
        <w:t>Współpraca z nauczycielem prowadzącym rewalidacje indywidualną.</w:t>
      </w:r>
    </w:p>
    <w:p w:rsidR="00197EAA" w:rsidRPr="00F17474" w:rsidRDefault="00197EAA" w:rsidP="00F17474">
      <w:pPr>
        <w:spacing w:line="288" w:lineRule="auto"/>
        <w:jc w:val="both"/>
        <w:rPr>
          <w:rFonts w:eastAsia="ZapfHumanist601PL-Roman"/>
          <w:sz w:val="20"/>
          <w:szCs w:val="20"/>
        </w:rPr>
      </w:pPr>
    </w:p>
    <w:p w:rsidR="00F17474" w:rsidRDefault="00F17474" w:rsidP="00F17474">
      <w:pPr>
        <w:spacing w:line="288" w:lineRule="auto"/>
        <w:jc w:val="both"/>
        <w:rPr>
          <w:rFonts w:eastAsia="ZapfHumanist601PL-Roman"/>
          <w:sz w:val="18"/>
          <w:szCs w:val="18"/>
        </w:rPr>
      </w:pPr>
    </w:p>
    <w:p w:rsidR="002665EE" w:rsidRPr="00C45E9F" w:rsidRDefault="002665EE" w:rsidP="00C45E9F">
      <w:pPr>
        <w:autoSpaceDE w:val="0"/>
        <w:autoSpaceDN w:val="0"/>
        <w:adjustRightInd w:val="0"/>
        <w:spacing w:after="0" w:line="240" w:lineRule="auto"/>
        <w:rPr>
          <w:rFonts w:eastAsia="CenturySchoolbookPL-Roman" w:cs="CenturySchoolbookPL-Roman"/>
          <w:color w:val="000000"/>
        </w:rPr>
      </w:pPr>
    </w:p>
    <w:sectPr w:rsidR="002665EE" w:rsidRPr="00C45E9F" w:rsidSect="00266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anist521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Humanist601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FC2"/>
    <w:multiLevelType w:val="hybridMultilevel"/>
    <w:tmpl w:val="7A86F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D591E"/>
    <w:multiLevelType w:val="hybridMultilevel"/>
    <w:tmpl w:val="FE40890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9F"/>
    <w:rsid w:val="0012212D"/>
    <w:rsid w:val="001731B8"/>
    <w:rsid w:val="00197EAA"/>
    <w:rsid w:val="002665EE"/>
    <w:rsid w:val="00266840"/>
    <w:rsid w:val="00354414"/>
    <w:rsid w:val="00455CD1"/>
    <w:rsid w:val="00510723"/>
    <w:rsid w:val="00574644"/>
    <w:rsid w:val="00604A88"/>
    <w:rsid w:val="00627CC8"/>
    <w:rsid w:val="00652A24"/>
    <w:rsid w:val="00666FCE"/>
    <w:rsid w:val="0067312A"/>
    <w:rsid w:val="006948D8"/>
    <w:rsid w:val="00723FC1"/>
    <w:rsid w:val="007713D3"/>
    <w:rsid w:val="007F6C1E"/>
    <w:rsid w:val="0093179E"/>
    <w:rsid w:val="009C59D6"/>
    <w:rsid w:val="009D6A13"/>
    <w:rsid w:val="00A55A31"/>
    <w:rsid w:val="00B12324"/>
    <w:rsid w:val="00B446E5"/>
    <w:rsid w:val="00B926B0"/>
    <w:rsid w:val="00B954C8"/>
    <w:rsid w:val="00BF57DA"/>
    <w:rsid w:val="00BF71EE"/>
    <w:rsid w:val="00C45E9F"/>
    <w:rsid w:val="00CA673C"/>
    <w:rsid w:val="00CE3A9F"/>
    <w:rsid w:val="00CF365B"/>
    <w:rsid w:val="00D77655"/>
    <w:rsid w:val="00E46F99"/>
    <w:rsid w:val="00E76528"/>
    <w:rsid w:val="00E824FF"/>
    <w:rsid w:val="00E82B4F"/>
    <w:rsid w:val="00EF3D23"/>
    <w:rsid w:val="00EF6463"/>
    <w:rsid w:val="00F17474"/>
    <w:rsid w:val="00F542DD"/>
    <w:rsid w:val="00F9436C"/>
    <w:rsid w:val="00FC7227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A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9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97E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7EAA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A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9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97E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7EAA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3377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Mejłun</dc:creator>
  <cp:lastModifiedBy>Dell</cp:lastModifiedBy>
  <cp:revision>3</cp:revision>
  <dcterms:created xsi:type="dcterms:W3CDTF">2016-09-17T16:11:00Z</dcterms:created>
  <dcterms:modified xsi:type="dcterms:W3CDTF">2017-10-01T16:35:00Z</dcterms:modified>
</cp:coreProperties>
</file>